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0BE58C47"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9B5B0A">
        <w:rPr>
          <w:rFonts w:ascii="Arial" w:hAnsi="Arial" w:cs="Arial"/>
          <w:b/>
          <w:bCs/>
        </w:rPr>
        <w:t>4</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A26B99">
        <w:rPr>
          <w:rFonts w:ascii="Arial" w:hAnsi="Arial" w:cs="Arial"/>
          <w:b/>
          <w:bCs/>
        </w:rPr>
        <w:t>2</w:t>
      </w:r>
      <w:r w:rsidR="004458A9">
        <w:rPr>
          <w:rFonts w:ascii="Arial" w:hAnsi="Arial" w:cs="Arial"/>
          <w:b/>
          <w:bCs/>
        </w:rPr>
        <w:t>101373</w:t>
      </w:r>
    </w:p>
    <w:p w14:paraId="498D7BE2" w14:textId="490DC44E" w:rsidR="00E847D0" w:rsidRPr="00D66952" w:rsidRDefault="00E847D0" w:rsidP="00E847D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009B5B0A" w:rsidRPr="009B5B0A">
        <w:rPr>
          <w:rFonts w:ascii="Arial" w:eastAsia="MS Mincho" w:hAnsi="Arial" w:cs="Arial"/>
          <w:b/>
          <w:bCs/>
          <w:lang w:val="en-GB" w:eastAsia="ja-JP"/>
        </w:rPr>
        <w:t>January 25</w:t>
      </w:r>
      <w:r w:rsidR="009B5B0A" w:rsidRPr="009B5B0A">
        <w:rPr>
          <w:rFonts w:ascii="Arial" w:eastAsia="MS Mincho" w:hAnsi="Arial" w:cs="Arial"/>
          <w:b/>
          <w:bCs/>
          <w:vertAlign w:val="superscript"/>
          <w:lang w:val="en-GB" w:eastAsia="ja-JP"/>
        </w:rPr>
        <w:t>th</w:t>
      </w:r>
      <w:r w:rsidR="009B5B0A" w:rsidRPr="009B5B0A">
        <w:rPr>
          <w:rFonts w:ascii="Arial" w:eastAsia="MS Mincho" w:hAnsi="Arial" w:cs="Arial"/>
          <w:b/>
          <w:bCs/>
          <w:lang w:val="en-GB" w:eastAsia="ja-JP"/>
        </w:rPr>
        <w:t xml:space="preserve"> – February 5</w:t>
      </w:r>
      <w:r w:rsidR="009B5B0A" w:rsidRPr="009B5B0A">
        <w:rPr>
          <w:rFonts w:ascii="Arial" w:eastAsia="MS Mincho" w:hAnsi="Arial" w:cs="Arial"/>
          <w:b/>
          <w:bCs/>
          <w:vertAlign w:val="superscript"/>
          <w:lang w:val="en-GB" w:eastAsia="ja-JP"/>
        </w:rPr>
        <w:t>th</w:t>
      </w:r>
      <w:r w:rsidR="009B5B0A" w:rsidRPr="009B5B0A">
        <w:rPr>
          <w:rFonts w:ascii="Arial" w:eastAsia="MS Mincho" w:hAnsi="Arial" w:cs="Arial"/>
          <w:b/>
          <w:bCs/>
          <w:lang w:val="en-GB"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45B411E" w:rsidR="00B23EB7" w:rsidRDefault="00B23EB7" w:rsidP="00B23EB7">
      <w:pPr>
        <w:pStyle w:val="3GPPHeader"/>
        <w:rPr>
          <w:sz w:val="22"/>
          <w:szCs w:val="22"/>
        </w:rPr>
      </w:pPr>
      <w:r w:rsidRPr="00315C6E">
        <w:rPr>
          <w:sz w:val="22"/>
          <w:szCs w:val="22"/>
        </w:rPr>
        <w:t>Title:</w:t>
      </w:r>
      <w:r w:rsidRPr="00315C6E">
        <w:rPr>
          <w:sz w:val="22"/>
          <w:szCs w:val="22"/>
        </w:rPr>
        <w:tab/>
      </w:r>
      <w:r w:rsidR="009B5B0A" w:rsidRPr="009B5B0A">
        <w:rPr>
          <w:sz w:val="22"/>
          <w:szCs w:val="22"/>
        </w:rPr>
        <w:t>PDCCH monitoring enhancements for NR between 52.6GHz and 71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353E34F8" w14:textId="4AC719F3" w:rsidR="002B6731" w:rsidRDefault="002B6731" w:rsidP="00006719">
      <w:pPr>
        <w:pStyle w:val="0Maintext"/>
        <w:spacing w:after="0" w:afterAutospacing="0" w:line="240" w:lineRule="auto"/>
        <w:ind w:firstLine="0"/>
        <w:rPr>
          <w:sz w:val="22"/>
          <w:szCs w:val="22"/>
          <w:lang w:val="en-US"/>
        </w:rPr>
      </w:pPr>
      <w:r>
        <w:rPr>
          <w:sz w:val="22"/>
          <w:szCs w:val="22"/>
          <w:lang w:val="en-US"/>
        </w:rPr>
        <w:t>The study item on supporting NR from 52.6 GHz to 71 GHz</w:t>
      </w:r>
      <w:r w:rsidR="00EA68E6">
        <w:rPr>
          <w:sz w:val="22"/>
          <w:szCs w:val="22"/>
          <w:lang w:val="en-US"/>
        </w:rPr>
        <w:t xml:space="preserve"> </w:t>
      </w:r>
      <w:r w:rsidR="00EA68E6">
        <w:rPr>
          <w:sz w:val="22"/>
          <w:szCs w:val="22"/>
          <w:lang w:val="en-US"/>
        </w:rPr>
        <w:fldChar w:fldCharType="begin"/>
      </w:r>
      <w:r w:rsidR="00EA68E6">
        <w:rPr>
          <w:sz w:val="22"/>
          <w:szCs w:val="22"/>
          <w:lang w:val="en-US"/>
        </w:rPr>
        <w:instrText xml:space="preserve"> REF _Ref40195690 \r \h </w:instrText>
      </w:r>
      <w:r w:rsidR="00006719">
        <w:rPr>
          <w:sz w:val="22"/>
          <w:szCs w:val="22"/>
          <w:lang w:val="en-US"/>
        </w:rPr>
        <w:instrText xml:space="preserve"> \* MERGEFORMAT </w:instrText>
      </w:r>
      <w:r w:rsidR="00EA68E6">
        <w:rPr>
          <w:sz w:val="22"/>
          <w:szCs w:val="22"/>
          <w:lang w:val="en-US"/>
        </w:rPr>
      </w:r>
      <w:r w:rsidR="00EA68E6">
        <w:rPr>
          <w:sz w:val="22"/>
          <w:szCs w:val="22"/>
          <w:lang w:val="en-US"/>
        </w:rPr>
        <w:fldChar w:fldCharType="separate"/>
      </w:r>
      <w:r w:rsidR="00D37AD5">
        <w:rPr>
          <w:sz w:val="22"/>
          <w:szCs w:val="22"/>
          <w:lang w:val="en-US"/>
        </w:rPr>
        <w:t>[1]</w:t>
      </w:r>
      <w:r w:rsidR="00EA68E6">
        <w:rPr>
          <w:sz w:val="22"/>
          <w:szCs w:val="22"/>
          <w:lang w:val="en-US"/>
        </w:rPr>
        <w:fldChar w:fldCharType="end"/>
      </w:r>
      <w:r>
        <w:rPr>
          <w:sz w:val="22"/>
          <w:szCs w:val="22"/>
          <w:lang w:val="en-US"/>
        </w:rPr>
        <w:t xml:space="preserve"> was completed in RAN1 #103-e with </w:t>
      </w:r>
      <w:r w:rsidR="00EA68E6">
        <w:rPr>
          <w:sz w:val="22"/>
          <w:szCs w:val="22"/>
          <w:lang w:val="en-US"/>
        </w:rPr>
        <w:t>the</w:t>
      </w:r>
      <w:r>
        <w:rPr>
          <w:sz w:val="22"/>
          <w:szCs w:val="22"/>
          <w:lang w:val="en-US"/>
        </w:rPr>
        <w:t xml:space="preserve"> conclusion </w:t>
      </w:r>
      <w:r w:rsidRPr="002B6731">
        <w:rPr>
          <w:sz w:val="22"/>
          <w:szCs w:val="22"/>
          <w:lang w:val="en-US"/>
        </w:rPr>
        <w:t>that numerologies 240 kHz, 480 kHz, and 960 kHz are considered as candidates for additional numerologies in addition to 120 kHz, and numerologies outside this range are not supported for any signals or channels</w:t>
      </w:r>
      <w:r>
        <w:rPr>
          <w:sz w:val="22"/>
          <w:szCs w:val="22"/>
          <w:lang w:val="en-US"/>
        </w:rPr>
        <w:t xml:space="preserve"> </w:t>
      </w:r>
      <w:r w:rsidR="00D37AD5">
        <w:rPr>
          <w:sz w:val="22"/>
          <w:szCs w:val="22"/>
          <w:lang w:val="en-US"/>
        </w:rPr>
        <w:fldChar w:fldCharType="begin"/>
      </w:r>
      <w:r w:rsidR="00D37AD5">
        <w:rPr>
          <w:sz w:val="22"/>
          <w:szCs w:val="22"/>
          <w:lang w:val="en-US"/>
        </w:rPr>
        <w:instrText xml:space="preserve"> REF _Ref61720508 \r \h </w:instrText>
      </w:r>
      <w:r w:rsidR="00D37AD5">
        <w:rPr>
          <w:sz w:val="22"/>
          <w:szCs w:val="22"/>
          <w:lang w:val="en-US"/>
        </w:rPr>
      </w:r>
      <w:r w:rsidR="00D37AD5">
        <w:rPr>
          <w:sz w:val="22"/>
          <w:szCs w:val="22"/>
          <w:lang w:val="en-US"/>
        </w:rPr>
        <w:fldChar w:fldCharType="separate"/>
      </w:r>
      <w:r w:rsidR="00D37AD5">
        <w:rPr>
          <w:sz w:val="22"/>
          <w:szCs w:val="22"/>
          <w:lang w:val="en-US"/>
        </w:rPr>
        <w:t>[2]</w:t>
      </w:r>
      <w:r w:rsidR="00D37AD5">
        <w:rPr>
          <w:sz w:val="22"/>
          <w:szCs w:val="22"/>
          <w:lang w:val="en-US"/>
        </w:rPr>
        <w:fldChar w:fldCharType="end"/>
      </w:r>
      <w:r w:rsidR="00EA68E6">
        <w:rPr>
          <w:sz w:val="22"/>
          <w:szCs w:val="22"/>
          <w:lang w:val="en-US"/>
        </w:rPr>
        <w:fldChar w:fldCharType="begin"/>
      </w:r>
      <w:r w:rsidR="00EA68E6">
        <w:rPr>
          <w:sz w:val="22"/>
          <w:szCs w:val="22"/>
          <w:lang w:val="en-US"/>
        </w:rPr>
        <w:instrText xml:space="preserve"> REF _Ref61153247 \r \h </w:instrText>
      </w:r>
      <w:r w:rsidR="00006719">
        <w:rPr>
          <w:sz w:val="22"/>
          <w:szCs w:val="22"/>
          <w:lang w:val="en-US"/>
        </w:rPr>
        <w:instrText xml:space="preserve"> \* MERGEFORMAT </w:instrText>
      </w:r>
      <w:r w:rsidR="00EA68E6">
        <w:rPr>
          <w:sz w:val="22"/>
          <w:szCs w:val="22"/>
          <w:lang w:val="en-US"/>
        </w:rPr>
        <w:fldChar w:fldCharType="separate"/>
      </w:r>
      <w:r w:rsidR="00EA68E6">
        <w:rPr>
          <w:sz w:val="22"/>
          <w:szCs w:val="22"/>
          <w:lang w:val="en-US"/>
        </w:rPr>
        <w:fldChar w:fldCharType="end"/>
      </w:r>
      <w:r w:rsidRPr="002B6731">
        <w:rPr>
          <w:sz w:val="22"/>
          <w:szCs w:val="22"/>
          <w:lang w:val="en-US"/>
        </w:rPr>
        <w:t xml:space="preserve">. </w:t>
      </w:r>
    </w:p>
    <w:p w14:paraId="6E535E20" w14:textId="623E6828" w:rsidR="002B6731" w:rsidRDefault="002B6731" w:rsidP="00006719">
      <w:pPr>
        <w:pStyle w:val="0Maintext"/>
        <w:spacing w:after="0" w:afterAutospacing="0" w:line="240" w:lineRule="auto"/>
        <w:ind w:firstLine="0"/>
        <w:rPr>
          <w:sz w:val="22"/>
          <w:szCs w:val="22"/>
          <w:lang w:val="en-US"/>
        </w:rPr>
      </w:pPr>
    </w:p>
    <w:p w14:paraId="4B80B09B" w14:textId="534C21B0" w:rsidR="002B6731" w:rsidRPr="00DA5F28" w:rsidRDefault="00EA68E6" w:rsidP="00006719">
      <w:pPr>
        <w:pStyle w:val="0Maintext"/>
        <w:spacing w:after="0" w:afterAutospacing="0" w:line="240" w:lineRule="auto"/>
        <w:ind w:firstLine="0"/>
        <w:rPr>
          <w:sz w:val="22"/>
          <w:szCs w:val="22"/>
          <w:lang w:val="en-US"/>
        </w:rPr>
      </w:pPr>
      <w:r>
        <w:rPr>
          <w:sz w:val="22"/>
          <w:szCs w:val="22"/>
          <w:lang w:val="en-US"/>
        </w:rPr>
        <w:t>Based on the SI,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D37AD5">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006719">
      <w:pPr>
        <w:pStyle w:val="B1"/>
        <w:numPr>
          <w:ilvl w:val="0"/>
          <w:numId w:val="32"/>
        </w:numPr>
        <w:overflowPunct w:val="0"/>
        <w:autoSpaceDE w:val="0"/>
        <w:autoSpaceDN w:val="0"/>
        <w:adjustRightInd w:val="0"/>
        <w:spacing w:before="180"/>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006719">
      <w:pPr>
        <w:pStyle w:val="B1"/>
        <w:numPr>
          <w:ilvl w:val="1"/>
          <w:numId w:val="32"/>
        </w:numPr>
        <w:spacing w:before="180"/>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65295E31" w14:textId="68114A07" w:rsidR="00D37AD5" w:rsidRDefault="004A1F1C" w:rsidP="00D37AD5">
      <w:pPr>
        <w:pStyle w:val="0Maintext"/>
        <w:spacing w:after="0"/>
        <w:ind w:firstLine="0"/>
        <w:rPr>
          <w:rFonts w:eastAsia="SimSun" w:cs="Times New Roman"/>
          <w:sz w:val="22"/>
          <w:szCs w:val="22"/>
          <w:lang w:eastAsia="ja-JP"/>
        </w:rPr>
      </w:pPr>
      <w:r>
        <w:rPr>
          <w:rFonts w:eastAsia="SimSun" w:cs="Times New Roman"/>
          <w:sz w:val="22"/>
          <w:szCs w:val="22"/>
          <w:lang w:eastAsia="ja-JP"/>
        </w:rPr>
        <w:t xml:space="preserve">With the increase in SCS and associated reduction in slot size, there is a need to </w:t>
      </w:r>
      <w:r w:rsidR="00B66598">
        <w:rPr>
          <w:rFonts w:eastAsia="SimSun" w:cs="Times New Roman"/>
          <w:sz w:val="22"/>
          <w:szCs w:val="22"/>
          <w:lang w:eastAsia="ja-JP"/>
        </w:rPr>
        <w:t xml:space="preserve">enhance PDCCH monitoring when compared with Rel-15 and Rel-16 as </w:t>
      </w:r>
      <w:r w:rsidR="00D37AD5">
        <w:rPr>
          <w:rFonts w:eastAsia="SimSun" w:cs="Times New Roman"/>
          <w:sz w:val="22"/>
          <w:szCs w:val="22"/>
          <w:lang w:eastAsia="ja-JP"/>
        </w:rPr>
        <w:t xml:space="preserve">captured in the WID objective: </w:t>
      </w:r>
      <w:bookmarkStart w:id="3" w:name="_Hlk58595024"/>
      <w:bookmarkEnd w:id="1"/>
      <w:bookmarkEnd w:id="2"/>
    </w:p>
    <w:p w14:paraId="44244B95" w14:textId="0911A71E" w:rsidR="00ED211C" w:rsidRDefault="00ED211C" w:rsidP="00D37AD5">
      <w:pPr>
        <w:pStyle w:val="0Maintext"/>
        <w:numPr>
          <w:ilvl w:val="0"/>
          <w:numId w:val="32"/>
        </w:numPr>
        <w:spacing w:after="0"/>
        <w:rPr>
          <w:rFonts w:eastAsia="SimSun" w:cs="Times New Roman"/>
          <w:sz w:val="22"/>
          <w:szCs w:val="22"/>
          <w:lang w:eastAsia="ja-JP"/>
        </w:rPr>
      </w:pPr>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50774152" w:rsidR="004A1F1C" w:rsidRDefault="004A1F1C" w:rsidP="004A1F1C">
      <w:pPr>
        <w:pStyle w:val="0Maintext"/>
        <w:spacing w:after="0"/>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enhancements to PDDCH monitoring for the new SCS 480 kHz and 960 kHz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76C2D0CA" w14:textId="22EE2C54" w:rsidR="00C83BF6" w:rsidRDefault="00C83BF6" w:rsidP="00006719">
      <w:pPr>
        <w:pStyle w:val="Heading2"/>
        <w:jc w:val="both"/>
      </w:pPr>
      <w:r>
        <w:t xml:space="preserve">PDCCH Monitoring </w:t>
      </w:r>
      <w:r w:rsidR="008A13B7">
        <w:t>Background</w:t>
      </w:r>
    </w:p>
    <w:p w14:paraId="2E967380" w14:textId="5ECCECB8" w:rsidR="00ED211C" w:rsidRDefault="00ED211C" w:rsidP="00006719">
      <w:pPr>
        <w:jc w:val="both"/>
        <w:rPr>
          <w:sz w:val="22"/>
          <w:szCs w:val="22"/>
        </w:rPr>
      </w:pPr>
      <w:r>
        <w:rPr>
          <w:sz w:val="22"/>
          <w:szCs w:val="22"/>
        </w:rPr>
        <w:t xml:space="preserve">In the course of the </w:t>
      </w:r>
      <w:r w:rsidR="00D531E0">
        <w:rPr>
          <w:sz w:val="22"/>
          <w:szCs w:val="22"/>
        </w:rPr>
        <w:t>S</w:t>
      </w:r>
      <w:r>
        <w:rPr>
          <w:sz w:val="22"/>
          <w:szCs w:val="22"/>
        </w:rPr>
        <w:t xml:space="preserve">tudy </w:t>
      </w:r>
      <w:r w:rsidR="00D531E0">
        <w:rPr>
          <w:sz w:val="22"/>
          <w:szCs w:val="22"/>
        </w:rPr>
        <w:t>I</w:t>
      </w:r>
      <w:r>
        <w:rPr>
          <w:sz w:val="22"/>
          <w:szCs w:val="22"/>
        </w:rPr>
        <w:t>tem</w:t>
      </w:r>
      <w:r w:rsidR="00D37AD5">
        <w:rPr>
          <w:sz w:val="22"/>
          <w:szCs w:val="22"/>
        </w:rPr>
        <w:t xml:space="preserve"> some</w:t>
      </w:r>
      <w:r>
        <w:rPr>
          <w:sz w:val="22"/>
          <w:szCs w:val="22"/>
        </w:rPr>
        <w:t xml:space="preserve"> agreements were made on </w:t>
      </w:r>
      <w:r w:rsidR="00D37AD5">
        <w:rPr>
          <w:sz w:val="22"/>
          <w:szCs w:val="22"/>
        </w:rPr>
        <w:t xml:space="preserve">enhancing </w:t>
      </w:r>
      <w:r>
        <w:rPr>
          <w:sz w:val="22"/>
          <w:szCs w:val="22"/>
        </w:rPr>
        <w:t>PDCCH monitoring</w:t>
      </w:r>
      <w:r w:rsidR="00D37AD5">
        <w:rPr>
          <w:sz w:val="22"/>
          <w:szCs w:val="22"/>
        </w:rPr>
        <w:t xml:space="preserve"> for NR operation between 52.6 GHz and 71 GHz. W</w:t>
      </w:r>
      <w:r>
        <w:rPr>
          <w:sz w:val="22"/>
          <w:szCs w:val="22"/>
        </w:rPr>
        <w:t xml:space="preserve">e list them below for reference as a baseline for the </w:t>
      </w:r>
      <w:r w:rsidR="00D531E0">
        <w:rPr>
          <w:sz w:val="22"/>
          <w:szCs w:val="22"/>
        </w:rPr>
        <w:t>Work Item</w:t>
      </w:r>
      <w:r>
        <w:rPr>
          <w:sz w:val="22"/>
          <w:szCs w:val="22"/>
        </w:rPr>
        <w:t xml:space="preserve"> design.</w:t>
      </w:r>
    </w:p>
    <w:p w14:paraId="721AB5D0" w14:textId="77777777" w:rsidR="00ED211C" w:rsidRDefault="00ED211C" w:rsidP="00006719">
      <w:pPr>
        <w:jc w:val="both"/>
        <w:rPr>
          <w:sz w:val="22"/>
          <w:szCs w:val="22"/>
        </w:rPr>
      </w:pPr>
    </w:p>
    <w:p w14:paraId="2AD0C5B4" w14:textId="5EE1C3E3" w:rsidR="00C83BF6" w:rsidRDefault="005E3D31" w:rsidP="00006719">
      <w:pPr>
        <w:jc w:val="both"/>
        <w:rPr>
          <w:sz w:val="22"/>
          <w:szCs w:val="22"/>
        </w:rPr>
      </w:pPr>
      <w:r w:rsidRPr="005955FB">
        <w:rPr>
          <w:sz w:val="22"/>
          <w:szCs w:val="22"/>
        </w:rPr>
        <w:t xml:space="preserve">In </w:t>
      </w:r>
      <w:r w:rsidR="005955FB" w:rsidRPr="005955FB">
        <w:rPr>
          <w:sz w:val="22"/>
          <w:szCs w:val="22"/>
        </w:rPr>
        <w:t>RAN1</w:t>
      </w:r>
      <w:r w:rsidRPr="005955FB">
        <w:rPr>
          <w:sz w:val="22"/>
          <w:szCs w:val="22"/>
        </w:rPr>
        <w:t xml:space="preserve"> #102-e, the following agreement was made</w:t>
      </w:r>
      <w:r w:rsidR="00D37AD5">
        <w:rPr>
          <w:sz w:val="22"/>
          <w:szCs w:val="22"/>
        </w:rPr>
        <w:t xml:space="preserve"> </w:t>
      </w:r>
      <w:r w:rsidR="00D37AD5">
        <w:rPr>
          <w:sz w:val="22"/>
          <w:szCs w:val="22"/>
        </w:rPr>
        <w:fldChar w:fldCharType="begin"/>
      </w:r>
      <w:r w:rsidR="00D37AD5">
        <w:rPr>
          <w:sz w:val="22"/>
          <w:szCs w:val="22"/>
        </w:rPr>
        <w:instrText xml:space="preserve"> REF _Ref53750334 \r \h </w:instrText>
      </w:r>
      <w:r w:rsidR="00D37AD5">
        <w:rPr>
          <w:sz w:val="22"/>
          <w:szCs w:val="22"/>
        </w:rPr>
      </w:r>
      <w:r w:rsidR="00D37AD5">
        <w:rPr>
          <w:sz w:val="22"/>
          <w:szCs w:val="22"/>
        </w:rPr>
        <w:fldChar w:fldCharType="separate"/>
      </w:r>
      <w:r w:rsidR="00D37AD5">
        <w:rPr>
          <w:sz w:val="22"/>
          <w:szCs w:val="22"/>
        </w:rPr>
        <w:t>[4]</w:t>
      </w:r>
      <w:r w:rsidR="00D37AD5">
        <w:rPr>
          <w:sz w:val="22"/>
          <w:szCs w:val="22"/>
        </w:rPr>
        <w:fldChar w:fldCharType="end"/>
      </w:r>
      <w:r w:rsidRPr="005955FB">
        <w:rPr>
          <w:sz w:val="22"/>
          <w:szCs w:val="22"/>
        </w:rPr>
        <w:t>:</w:t>
      </w:r>
    </w:p>
    <w:p w14:paraId="1624C27E" w14:textId="77777777" w:rsidR="00B66598" w:rsidRDefault="00B66598" w:rsidP="00006719">
      <w:pPr>
        <w:jc w:val="both"/>
        <w:rPr>
          <w:sz w:val="22"/>
          <w:szCs w:val="22"/>
        </w:rPr>
      </w:pPr>
    </w:p>
    <w:p w14:paraId="5F960AF4" w14:textId="77777777" w:rsidR="00ED211C" w:rsidRPr="005955FB" w:rsidRDefault="00ED211C" w:rsidP="00006719">
      <w:pPr>
        <w:jc w:val="both"/>
        <w:rPr>
          <w:sz w:val="22"/>
          <w:szCs w:val="22"/>
        </w:rPr>
      </w:pPr>
    </w:p>
    <w:tbl>
      <w:tblPr>
        <w:tblStyle w:val="TableGrid"/>
        <w:tblW w:w="0" w:type="auto"/>
        <w:tblLook w:val="04A0" w:firstRow="1" w:lastRow="0" w:firstColumn="1" w:lastColumn="0" w:noHBand="0" w:noVBand="1"/>
      </w:tblPr>
      <w:tblGrid>
        <w:gridCol w:w="9350"/>
      </w:tblGrid>
      <w:tr w:rsidR="005955FB" w:rsidRPr="005955FB" w14:paraId="751ED441" w14:textId="77777777" w:rsidTr="005955FB">
        <w:tc>
          <w:tcPr>
            <w:tcW w:w="9350" w:type="dxa"/>
          </w:tcPr>
          <w:p w14:paraId="2957308A" w14:textId="77777777" w:rsidR="005955FB" w:rsidRPr="005955FB" w:rsidRDefault="005955FB" w:rsidP="00006719">
            <w:pPr>
              <w:jc w:val="both"/>
              <w:rPr>
                <w:sz w:val="22"/>
                <w:szCs w:val="22"/>
              </w:rPr>
            </w:pPr>
            <w:r w:rsidRPr="005955FB">
              <w:rPr>
                <w:sz w:val="22"/>
                <w:szCs w:val="22"/>
                <w:highlight w:val="green"/>
              </w:rPr>
              <w:lastRenderedPageBreak/>
              <w:t>Agreement</w:t>
            </w:r>
            <w:r w:rsidRPr="005955FB">
              <w:rPr>
                <w:sz w:val="22"/>
                <w:szCs w:val="22"/>
              </w:rPr>
              <w:t>:</w:t>
            </w:r>
          </w:p>
          <w:p w14:paraId="1B5254A3" w14:textId="77777777" w:rsidR="005955FB" w:rsidRPr="005955FB" w:rsidRDefault="005955FB" w:rsidP="00006719">
            <w:pPr>
              <w:pStyle w:val="ListParagraph"/>
              <w:numPr>
                <w:ilvl w:val="0"/>
                <w:numId w:val="19"/>
              </w:numPr>
              <w:ind w:leftChars="0"/>
              <w:jc w:val="both"/>
              <w:rPr>
                <w:sz w:val="22"/>
                <w:szCs w:val="22"/>
              </w:rPr>
            </w:pPr>
            <w:r w:rsidRPr="005955FB">
              <w:rPr>
                <w:sz w:val="22"/>
                <w:szCs w:val="22"/>
              </w:rPr>
              <w:t>Consider at least the following aspects of PDCCH monitoring for a given SCS</w:t>
            </w:r>
          </w:p>
          <w:p w14:paraId="40859ED9" w14:textId="77777777" w:rsidR="005955FB" w:rsidRPr="005955FB" w:rsidRDefault="005955FB" w:rsidP="00006719">
            <w:pPr>
              <w:pStyle w:val="ListParagraph"/>
              <w:numPr>
                <w:ilvl w:val="1"/>
                <w:numId w:val="19"/>
              </w:numPr>
              <w:ind w:leftChars="0"/>
              <w:jc w:val="both"/>
              <w:rPr>
                <w:sz w:val="22"/>
                <w:szCs w:val="22"/>
              </w:rPr>
            </w:pPr>
            <w:r w:rsidRPr="005955FB">
              <w:rPr>
                <w:sz w:val="22"/>
                <w:szCs w:val="22"/>
              </w:rPr>
              <w:t>For new SCS, if agreed, that are not supported in Rel-15/16 NR,</w:t>
            </w:r>
          </w:p>
          <w:p w14:paraId="612BB60F" w14:textId="77777777" w:rsidR="005955FB" w:rsidRPr="005955FB" w:rsidRDefault="005955FB" w:rsidP="00006719">
            <w:pPr>
              <w:pStyle w:val="ListParagraph"/>
              <w:numPr>
                <w:ilvl w:val="2"/>
                <w:numId w:val="19"/>
              </w:numPr>
              <w:ind w:leftChars="0"/>
              <w:jc w:val="both"/>
              <w:rPr>
                <w:sz w:val="22"/>
                <w:szCs w:val="22"/>
              </w:rPr>
            </w:pPr>
            <w:r w:rsidRPr="005955FB">
              <w:rPr>
                <w:sz w:val="22"/>
                <w:szCs w:val="22"/>
              </w:rPr>
              <w:t>investigate on the maximum number of BDs/CCEs for PDCCH monitoring per time unit</w:t>
            </w:r>
          </w:p>
          <w:p w14:paraId="64F4455F" w14:textId="62817DB4" w:rsidR="005955FB" w:rsidRPr="005955FB" w:rsidRDefault="00B31BFF" w:rsidP="00006719">
            <w:pPr>
              <w:pStyle w:val="ListParagraph"/>
              <w:numPr>
                <w:ilvl w:val="3"/>
                <w:numId w:val="19"/>
              </w:numPr>
              <w:ind w:leftChars="0"/>
              <w:jc w:val="both"/>
              <w:rPr>
                <w:sz w:val="22"/>
                <w:szCs w:val="22"/>
              </w:rPr>
            </w:pPr>
            <w:r w:rsidRPr="005955FB">
              <w:rPr>
                <w:sz w:val="22"/>
                <w:szCs w:val="22"/>
              </w:rPr>
              <w:t>e.g.,</w:t>
            </w:r>
            <w:r w:rsidR="005955FB" w:rsidRPr="005955FB">
              <w:rPr>
                <w:sz w:val="22"/>
                <w:szCs w:val="22"/>
              </w:rPr>
              <w:t xml:space="preserve"> slot as Rel-15, or new scheduling/monitoring unit</w:t>
            </w:r>
          </w:p>
          <w:p w14:paraId="0A164B3F" w14:textId="4D9AED4A" w:rsidR="005955FB" w:rsidRPr="005955FB" w:rsidRDefault="005955FB" w:rsidP="00006719">
            <w:pPr>
              <w:pStyle w:val="ListParagraph"/>
              <w:numPr>
                <w:ilvl w:val="2"/>
                <w:numId w:val="19"/>
              </w:numPr>
              <w:ind w:leftChars="0"/>
              <w:jc w:val="both"/>
              <w:rPr>
                <w:sz w:val="22"/>
                <w:szCs w:val="22"/>
              </w:rPr>
            </w:pPr>
            <w:r w:rsidRPr="005955FB">
              <w:rPr>
                <w:sz w:val="22"/>
                <w:szCs w:val="22"/>
              </w:rPr>
              <w:t>any potential limitation to PDCCH monitoring configurations (</w:t>
            </w:r>
            <w:r w:rsidR="00B31BFF" w:rsidRPr="005955FB">
              <w:rPr>
                <w:sz w:val="22"/>
                <w:szCs w:val="22"/>
              </w:rPr>
              <w:t>e.g.,</w:t>
            </w:r>
            <w:r w:rsidRPr="005955FB">
              <w:rPr>
                <w:sz w:val="22"/>
                <w:szCs w:val="22"/>
              </w:rPr>
              <w:t xml:space="preserve"> search spaces, DCI formats, overbooking/dropping, etc) to help with UE processing, if needed</w:t>
            </w:r>
          </w:p>
          <w:p w14:paraId="14515B6C" w14:textId="291D6E88" w:rsidR="005955FB" w:rsidRPr="005955FB" w:rsidRDefault="00B31BFF" w:rsidP="00006719">
            <w:pPr>
              <w:pStyle w:val="ListParagraph"/>
              <w:numPr>
                <w:ilvl w:val="2"/>
                <w:numId w:val="19"/>
              </w:numPr>
              <w:ind w:leftChars="0"/>
              <w:jc w:val="both"/>
              <w:rPr>
                <w:sz w:val="22"/>
                <w:szCs w:val="22"/>
              </w:rPr>
            </w:pPr>
            <w:r w:rsidRPr="005955FB">
              <w:rPr>
                <w:sz w:val="22"/>
                <w:szCs w:val="22"/>
              </w:rPr>
              <w:t>e.g.,</w:t>
            </w:r>
            <w:r w:rsidR="005955FB" w:rsidRPr="005955FB">
              <w:rPr>
                <w:sz w:val="22"/>
                <w:szCs w:val="22"/>
              </w:rPr>
              <w:t xml:space="preserve"> increased minimum PDCCH monitoring unit</w:t>
            </w:r>
          </w:p>
          <w:p w14:paraId="102D062B" w14:textId="77777777" w:rsidR="005955FB" w:rsidRPr="005955FB" w:rsidRDefault="005955FB" w:rsidP="00006719">
            <w:pPr>
              <w:pStyle w:val="ListParagraph"/>
              <w:numPr>
                <w:ilvl w:val="2"/>
                <w:numId w:val="19"/>
              </w:numPr>
              <w:ind w:leftChars="0"/>
              <w:jc w:val="both"/>
              <w:rPr>
                <w:sz w:val="22"/>
                <w:szCs w:val="22"/>
              </w:rPr>
            </w:pPr>
            <w:r w:rsidRPr="005955FB">
              <w:rPr>
                <w:sz w:val="22"/>
                <w:szCs w:val="22"/>
              </w:rPr>
              <w:t>potential enhancements for CORESET, if needed</w:t>
            </w:r>
          </w:p>
          <w:p w14:paraId="3803C462" w14:textId="77777777" w:rsidR="005955FB" w:rsidRPr="00C525F7" w:rsidRDefault="005955FB" w:rsidP="00006719">
            <w:pPr>
              <w:pStyle w:val="ListParagraph"/>
              <w:numPr>
                <w:ilvl w:val="2"/>
                <w:numId w:val="19"/>
              </w:numPr>
              <w:ind w:leftChars="0"/>
              <w:jc w:val="both"/>
              <w:rPr>
                <w:i/>
                <w:iCs/>
                <w:sz w:val="22"/>
                <w:szCs w:val="22"/>
              </w:rPr>
            </w:pPr>
            <w:r w:rsidRPr="005955FB">
              <w:rPr>
                <w:sz w:val="22"/>
                <w:szCs w:val="22"/>
              </w:rPr>
              <w:t>related UE capability(ies) for PDCCH processing</w:t>
            </w:r>
          </w:p>
          <w:p w14:paraId="260A52FF" w14:textId="07D957A3" w:rsidR="00C525F7" w:rsidRPr="00C525F7" w:rsidRDefault="00C525F7" w:rsidP="00006719">
            <w:pPr>
              <w:ind w:left="1440"/>
              <w:jc w:val="both"/>
              <w:rPr>
                <w:i/>
                <w:iCs/>
                <w:sz w:val="22"/>
                <w:szCs w:val="22"/>
              </w:rPr>
            </w:pPr>
          </w:p>
        </w:tc>
      </w:tr>
    </w:tbl>
    <w:p w14:paraId="7CD7CCEB" w14:textId="77777777" w:rsidR="005E3D31" w:rsidRPr="005955FB" w:rsidRDefault="005E3D31" w:rsidP="00006719">
      <w:pPr>
        <w:jc w:val="both"/>
        <w:rPr>
          <w:sz w:val="22"/>
          <w:szCs w:val="22"/>
        </w:rPr>
      </w:pPr>
    </w:p>
    <w:p w14:paraId="474A54C0" w14:textId="43823F87" w:rsidR="00347C0B" w:rsidRDefault="00347C0B" w:rsidP="00006719">
      <w:pPr>
        <w:jc w:val="both"/>
        <w:rPr>
          <w:sz w:val="22"/>
          <w:szCs w:val="22"/>
        </w:rPr>
      </w:pPr>
      <w:r w:rsidRPr="005955FB">
        <w:rPr>
          <w:sz w:val="22"/>
          <w:szCs w:val="22"/>
        </w:rPr>
        <w:t>In RAN1 #10</w:t>
      </w:r>
      <w:r>
        <w:rPr>
          <w:sz w:val="22"/>
          <w:szCs w:val="22"/>
        </w:rPr>
        <w:t>3</w:t>
      </w:r>
      <w:r w:rsidRPr="005955FB">
        <w:rPr>
          <w:sz w:val="22"/>
          <w:szCs w:val="22"/>
        </w:rPr>
        <w:t>-e, the following agreement</w:t>
      </w:r>
      <w:r w:rsidR="00D531E0">
        <w:rPr>
          <w:sz w:val="22"/>
          <w:szCs w:val="22"/>
        </w:rPr>
        <w:t>s</w:t>
      </w:r>
      <w:r w:rsidRPr="005955FB">
        <w:rPr>
          <w:sz w:val="22"/>
          <w:szCs w:val="22"/>
        </w:rPr>
        <w:t xml:space="preserve"> </w:t>
      </w:r>
      <w:r w:rsidR="00D531E0">
        <w:rPr>
          <w:sz w:val="22"/>
          <w:szCs w:val="22"/>
        </w:rPr>
        <w:t>were</w:t>
      </w:r>
      <w:r w:rsidRPr="005955FB">
        <w:rPr>
          <w:sz w:val="22"/>
          <w:szCs w:val="22"/>
        </w:rPr>
        <w:t xml:space="preserve"> made</w:t>
      </w:r>
      <w:r w:rsidR="00D37AD5">
        <w:rPr>
          <w:sz w:val="22"/>
          <w:szCs w:val="22"/>
        </w:rPr>
        <w:t xml:space="preserve"> </w:t>
      </w:r>
      <w:r w:rsidR="00D37AD5">
        <w:rPr>
          <w:sz w:val="22"/>
          <w:szCs w:val="22"/>
        </w:rPr>
        <w:fldChar w:fldCharType="begin"/>
      </w:r>
      <w:r w:rsidR="00D37AD5">
        <w:rPr>
          <w:sz w:val="22"/>
          <w:szCs w:val="22"/>
        </w:rPr>
        <w:instrText xml:space="preserve"> REF _Ref53750335 \r \h </w:instrText>
      </w:r>
      <w:r w:rsidR="00D37AD5">
        <w:rPr>
          <w:sz w:val="22"/>
          <w:szCs w:val="22"/>
        </w:rPr>
      </w:r>
      <w:r w:rsidR="00D37AD5">
        <w:rPr>
          <w:sz w:val="22"/>
          <w:szCs w:val="22"/>
        </w:rPr>
        <w:fldChar w:fldCharType="separate"/>
      </w:r>
      <w:r w:rsidR="00D37AD5">
        <w:rPr>
          <w:sz w:val="22"/>
          <w:szCs w:val="22"/>
        </w:rPr>
        <w:t>[5]</w:t>
      </w:r>
      <w:r w:rsidR="00D37AD5">
        <w:rPr>
          <w:sz w:val="22"/>
          <w:szCs w:val="22"/>
        </w:rPr>
        <w:fldChar w:fldCharType="end"/>
      </w:r>
      <w:r w:rsidRPr="005955FB">
        <w:rPr>
          <w:sz w:val="22"/>
          <w:szCs w:val="22"/>
        </w:rPr>
        <w:t>:</w:t>
      </w:r>
    </w:p>
    <w:p w14:paraId="1A85B648" w14:textId="77777777" w:rsidR="00ED211C" w:rsidRPr="005955FB" w:rsidRDefault="00ED211C" w:rsidP="00006719">
      <w:pPr>
        <w:jc w:val="both"/>
        <w:rPr>
          <w:sz w:val="22"/>
          <w:szCs w:val="22"/>
        </w:rPr>
      </w:pPr>
    </w:p>
    <w:tbl>
      <w:tblPr>
        <w:tblStyle w:val="TableGrid"/>
        <w:tblW w:w="0" w:type="auto"/>
        <w:tblLook w:val="04A0" w:firstRow="1" w:lastRow="0" w:firstColumn="1" w:lastColumn="0" w:noHBand="0" w:noVBand="1"/>
      </w:tblPr>
      <w:tblGrid>
        <w:gridCol w:w="9350"/>
      </w:tblGrid>
      <w:tr w:rsidR="00347C0B" w:rsidRPr="005955FB" w14:paraId="413AEDC9" w14:textId="77777777" w:rsidTr="00596E96">
        <w:tc>
          <w:tcPr>
            <w:tcW w:w="9350" w:type="dxa"/>
          </w:tcPr>
          <w:p w14:paraId="09A2277D" w14:textId="77777777" w:rsidR="00347C0B" w:rsidRPr="005955FB" w:rsidRDefault="00347C0B" w:rsidP="00006719">
            <w:pPr>
              <w:jc w:val="both"/>
              <w:rPr>
                <w:sz w:val="22"/>
                <w:szCs w:val="22"/>
              </w:rPr>
            </w:pPr>
            <w:r w:rsidRPr="005955FB">
              <w:rPr>
                <w:sz w:val="22"/>
                <w:szCs w:val="22"/>
                <w:highlight w:val="green"/>
              </w:rPr>
              <w:t>Agreement</w:t>
            </w:r>
            <w:r w:rsidRPr="005955FB">
              <w:rPr>
                <w:sz w:val="22"/>
                <w:szCs w:val="22"/>
              </w:rPr>
              <w:t>:</w:t>
            </w:r>
          </w:p>
          <w:p w14:paraId="782C64C5" w14:textId="77777777" w:rsidR="00347C0B" w:rsidRDefault="00347C0B" w:rsidP="00006719">
            <w:pPr>
              <w:jc w:val="both"/>
              <w:rPr>
                <w:sz w:val="22"/>
                <w:szCs w:val="22"/>
              </w:rPr>
            </w:pPr>
            <w:r>
              <w:rPr>
                <w:sz w:val="22"/>
                <w:szCs w:val="22"/>
              </w:rPr>
              <w:t>Capture the following observations in the TR (Editorial modifications and changes to references can be made when capturing the observations in the TR):</w:t>
            </w:r>
          </w:p>
          <w:p w14:paraId="5A22DE0A" w14:textId="719F689F" w:rsidR="00347C0B" w:rsidRDefault="00347C0B" w:rsidP="00006719">
            <w:pPr>
              <w:pStyle w:val="BodyText"/>
              <w:numPr>
                <w:ilvl w:val="0"/>
                <w:numId w:val="1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 xml:space="preserve">It was identified that the potential enhancements to PDCCH monitoring including potential limitation to UE PDCCH </w:t>
            </w:r>
            <w:r w:rsidR="00B31BFF">
              <w:rPr>
                <w:rFonts w:ascii="Times New Roman" w:hAnsi="Times New Roman"/>
                <w:sz w:val="22"/>
                <w:szCs w:val="22"/>
                <w:lang w:eastAsia="zh-CN"/>
              </w:rPr>
              <w:t>configuration,</w:t>
            </w:r>
            <w:r>
              <w:rPr>
                <w:rFonts w:ascii="Times New Roman" w:hAnsi="Times New Roman"/>
                <w:sz w:val="22"/>
                <w:szCs w:val="22"/>
                <w:lang w:eastAsia="zh-CN"/>
              </w:rPr>
              <w:t xml:space="preserve">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06AD04DF" w14:textId="0CEC5C9B" w:rsidR="00347C0B" w:rsidRDefault="00347C0B" w:rsidP="00006719">
            <w:pPr>
              <w:pStyle w:val="BodyText"/>
              <w:numPr>
                <w:ilvl w:val="0"/>
                <w:numId w:val="1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It was observed that PDCCH processing capabilities per multiple slots for larger SCS (</w:t>
            </w:r>
            <w:r w:rsidR="00B31BFF">
              <w:rPr>
                <w:rFonts w:ascii="Times New Roman" w:hAnsi="Times New Roman"/>
                <w:sz w:val="22"/>
                <w:szCs w:val="22"/>
                <w:lang w:eastAsia="zh-CN"/>
              </w:rPr>
              <w:t>e.g.,</w:t>
            </w:r>
            <w:r>
              <w:rPr>
                <w:rFonts w:ascii="Times New Roman" w:hAnsi="Times New Roman"/>
                <w:sz w:val="22"/>
                <w:szCs w:val="22"/>
                <w:lang w:eastAsia="zh-CN"/>
              </w:rPr>
              <w:t xml:space="preserve"> 480 or 960 kHz) can maintain scheduling framework same as for smaller SCS (</w:t>
            </w:r>
            <w:r w:rsidR="00B31BFF">
              <w:rPr>
                <w:rFonts w:ascii="Times New Roman" w:hAnsi="Times New Roman"/>
                <w:sz w:val="22"/>
                <w:szCs w:val="22"/>
                <w:lang w:eastAsia="zh-CN"/>
              </w:rPr>
              <w:t>e.g.,</w:t>
            </w:r>
            <w:r>
              <w:rPr>
                <w:rFonts w:ascii="Times New Roman" w:hAnsi="Times New Roman"/>
                <w:sz w:val="22"/>
                <w:szCs w:val="22"/>
                <w:lang w:eastAsia="zh-CN"/>
              </w:rPr>
              <w:t xml:space="preserve"> 120 kHz) when the UE is configured to monitor the PDCCH every multiple slots.</w:t>
            </w:r>
          </w:p>
          <w:p w14:paraId="4D4A94CA" w14:textId="406184B2" w:rsidR="00347C0B" w:rsidRPr="00ED211C" w:rsidRDefault="00347C0B" w:rsidP="00006719">
            <w:pPr>
              <w:jc w:val="both"/>
              <w:rPr>
                <w:i/>
                <w:iCs/>
                <w:sz w:val="22"/>
                <w:szCs w:val="22"/>
              </w:rPr>
            </w:pPr>
          </w:p>
        </w:tc>
      </w:tr>
    </w:tbl>
    <w:p w14:paraId="139B51A8" w14:textId="0CC12126" w:rsidR="00347C0B" w:rsidRDefault="00347C0B" w:rsidP="00006719">
      <w:pPr>
        <w:jc w:val="both"/>
        <w:rPr>
          <w:sz w:val="22"/>
          <w:szCs w:val="22"/>
        </w:rPr>
      </w:pPr>
    </w:p>
    <w:p w14:paraId="191B4C49" w14:textId="77777777" w:rsidR="00347C0B" w:rsidRDefault="00347C0B" w:rsidP="00006719">
      <w:pPr>
        <w:jc w:val="both"/>
        <w:rPr>
          <w:sz w:val="22"/>
          <w:szCs w:val="22"/>
        </w:rPr>
      </w:pPr>
    </w:p>
    <w:p w14:paraId="25FD562F" w14:textId="52687B87" w:rsidR="00347C0B" w:rsidRDefault="00C83BF6" w:rsidP="00006719">
      <w:pPr>
        <w:jc w:val="both"/>
        <w:rPr>
          <w:sz w:val="22"/>
          <w:szCs w:val="22"/>
        </w:rPr>
      </w:pPr>
      <w:r w:rsidRPr="005955FB">
        <w:rPr>
          <w:sz w:val="22"/>
          <w:szCs w:val="22"/>
        </w:rPr>
        <w:t xml:space="preserve">In Rel-15, PDCCH monitoring of search spaces is defined per slot with different </w:t>
      </w:r>
      <w:r w:rsidR="00ED211C">
        <w:rPr>
          <w:sz w:val="22"/>
          <w:szCs w:val="22"/>
        </w:rPr>
        <w:t>usage models</w:t>
      </w:r>
      <w:r w:rsidRPr="005955FB">
        <w:rPr>
          <w:sz w:val="22"/>
          <w:szCs w:val="22"/>
        </w:rPr>
        <w:t xml:space="preserve"> defining a monitoring periodicity of once per slot</w:t>
      </w:r>
      <w:r w:rsidRPr="008E10F0">
        <w:rPr>
          <w:sz w:val="22"/>
          <w:szCs w:val="22"/>
        </w:rPr>
        <w:t xml:space="preserve"> (</w:t>
      </w:r>
      <w:r w:rsidR="00D37AD5">
        <w:rPr>
          <w:sz w:val="22"/>
          <w:szCs w:val="22"/>
        </w:rPr>
        <w:t xml:space="preserve">classified as </w:t>
      </w:r>
      <w:r w:rsidRPr="008E10F0">
        <w:rPr>
          <w:sz w:val="22"/>
          <w:szCs w:val="22"/>
        </w:rPr>
        <w:t>case-1)</w:t>
      </w:r>
      <w:r w:rsidR="00ED211C">
        <w:rPr>
          <w:sz w:val="22"/>
          <w:szCs w:val="22"/>
        </w:rPr>
        <w:t xml:space="preserve"> or </w:t>
      </w:r>
      <w:r w:rsidRPr="008E10F0">
        <w:rPr>
          <w:sz w:val="22"/>
          <w:szCs w:val="22"/>
        </w:rPr>
        <w:t>multiple times per slot (</w:t>
      </w:r>
      <w:r w:rsidR="00D37AD5">
        <w:rPr>
          <w:sz w:val="22"/>
          <w:szCs w:val="22"/>
        </w:rPr>
        <w:t xml:space="preserve">classified as </w:t>
      </w:r>
      <w:r w:rsidRPr="008E10F0">
        <w:rPr>
          <w:sz w:val="22"/>
          <w:szCs w:val="22"/>
        </w:rPr>
        <w:t xml:space="preserve">case-2). </w:t>
      </w:r>
      <w:r w:rsidR="00ED211C">
        <w:rPr>
          <w:sz w:val="22"/>
          <w:szCs w:val="22"/>
        </w:rPr>
        <w:t xml:space="preserve">These are defined </w:t>
      </w:r>
      <w:r w:rsidR="00D37AD5">
        <w:rPr>
          <w:sz w:val="22"/>
          <w:szCs w:val="22"/>
        </w:rPr>
        <w:t>in</w:t>
      </w:r>
      <w:r w:rsidR="00ED211C">
        <w:rPr>
          <w:sz w:val="22"/>
          <w:szCs w:val="22"/>
        </w:rPr>
        <w:t xml:space="preserve"> </w:t>
      </w:r>
      <w:r w:rsidR="00EA68E6">
        <w:rPr>
          <w:sz w:val="22"/>
          <w:szCs w:val="22"/>
        </w:rPr>
        <w:t>different</w:t>
      </w:r>
      <w:r w:rsidR="00ED211C">
        <w:rPr>
          <w:sz w:val="22"/>
          <w:szCs w:val="22"/>
        </w:rPr>
        <w:t xml:space="preserve"> UE feature groups (FG 3-1, FG 3-2 , FG 3-5a and FG 3-5b)</w:t>
      </w:r>
      <w:r w:rsidR="00EA68E6">
        <w:rPr>
          <w:sz w:val="22"/>
          <w:szCs w:val="22"/>
        </w:rPr>
        <w:t xml:space="preserve"> </w:t>
      </w:r>
      <w:r w:rsidR="00EA68E6">
        <w:rPr>
          <w:sz w:val="22"/>
          <w:szCs w:val="22"/>
        </w:rPr>
        <w:fldChar w:fldCharType="begin"/>
      </w:r>
      <w:r w:rsidR="00EA68E6">
        <w:rPr>
          <w:sz w:val="22"/>
          <w:szCs w:val="22"/>
        </w:rPr>
        <w:instrText xml:space="preserve"> REF _Ref61153333 \r \h </w:instrText>
      </w:r>
      <w:r w:rsidR="00006719">
        <w:rPr>
          <w:sz w:val="22"/>
          <w:szCs w:val="22"/>
        </w:rPr>
        <w:instrText xml:space="preserve"> \* MERGEFORMAT </w:instrText>
      </w:r>
      <w:r w:rsidR="00EA68E6">
        <w:rPr>
          <w:sz w:val="22"/>
          <w:szCs w:val="22"/>
        </w:rPr>
      </w:r>
      <w:r w:rsidR="00EA68E6">
        <w:rPr>
          <w:sz w:val="22"/>
          <w:szCs w:val="22"/>
        </w:rPr>
        <w:fldChar w:fldCharType="separate"/>
      </w:r>
      <w:r w:rsidR="00D37AD5">
        <w:rPr>
          <w:sz w:val="22"/>
          <w:szCs w:val="22"/>
        </w:rPr>
        <w:t>[4]</w:t>
      </w:r>
      <w:r w:rsidR="00EA68E6">
        <w:rPr>
          <w:sz w:val="22"/>
          <w:szCs w:val="22"/>
        </w:rPr>
        <w:fldChar w:fldCharType="end"/>
      </w:r>
      <w:r w:rsidR="00ED211C">
        <w:rPr>
          <w:sz w:val="22"/>
          <w:szCs w:val="22"/>
        </w:rPr>
        <w:t xml:space="preserve">. </w:t>
      </w:r>
      <w:r w:rsidRPr="008E10F0">
        <w:rPr>
          <w:sz w:val="22"/>
          <w:szCs w:val="22"/>
        </w:rPr>
        <w:t xml:space="preserve">Associated procedures such as overbooking and dropping are performed per slot. </w:t>
      </w:r>
      <w:r w:rsidR="00D531E0">
        <w:rPr>
          <w:sz w:val="22"/>
          <w:szCs w:val="22"/>
        </w:rPr>
        <w:t>The</w:t>
      </w:r>
      <w:r w:rsidRPr="008E10F0">
        <w:rPr>
          <w:sz w:val="22"/>
          <w:szCs w:val="22"/>
        </w:rPr>
        <w:t xml:space="preserve"> UE processing limits such as the maximum number of monitored PDCCH candidates per component carrier and the maximum number of non-overlapped CCEs per component carrier are also defined per slot. </w:t>
      </w:r>
    </w:p>
    <w:p w14:paraId="05610DEA" w14:textId="77777777" w:rsidR="00347C0B" w:rsidRDefault="00347C0B" w:rsidP="00006719">
      <w:pPr>
        <w:jc w:val="both"/>
        <w:rPr>
          <w:sz w:val="22"/>
          <w:szCs w:val="22"/>
        </w:rPr>
      </w:pPr>
    </w:p>
    <w:p w14:paraId="263D48A8" w14:textId="23E7D3E0" w:rsidR="00C83BF6" w:rsidRDefault="00C83BF6" w:rsidP="00006719">
      <w:pPr>
        <w:jc w:val="both"/>
        <w:rPr>
          <w:sz w:val="22"/>
          <w:szCs w:val="22"/>
        </w:rPr>
      </w:pPr>
      <w:r w:rsidRPr="008E10F0">
        <w:rPr>
          <w:sz w:val="22"/>
          <w:szCs w:val="22"/>
        </w:rPr>
        <w:t xml:space="preserve">In Rel-16, PDCCH monitoring of search spaces for URLLC is defined per span </w:t>
      </w:r>
      <w:r w:rsidR="00ED211C">
        <w:rPr>
          <w:sz w:val="22"/>
          <w:szCs w:val="22"/>
        </w:rPr>
        <w:t xml:space="preserve">where a span is a sub-set of a slot. This allows </w:t>
      </w:r>
      <w:r w:rsidRPr="008E10F0">
        <w:rPr>
          <w:sz w:val="22"/>
          <w:szCs w:val="22"/>
        </w:rPr>
        <w:t xml:space="preserve">multiple spans to be processed within </w:t>
      </w:r>
      <w:r w:rsidRPr="00B45BF4">
        <w:rPr>
          <w:sz w:val="22"/>
          <w:szCs w:val="22"/>
        </w:rPr>
        <w:t xml:space="preserve">a slot for </w:t>
      </w:r>
      <w:r w:rsidR="00D37AD5">
        <w:rPr>
          <w:sz w:val="22"/>
          <w:szCs w:val="22"/>
        </w:rPr>
        <w:t xml:space="preserve">the </w:t>
      </w:r>
      <w:r w:rsidRPr="00B45BF4">
        <w:rPr>
          <w:sz w:val="22"/>
          <w:szCs w:val="22"/>
        </w:rPr>
        <w:t>15 kHz and 30 kHz</w:t>
      </w:r>
      <w:r w:rsidR="00D531E0">
        <w:rPr>
          <w:sz w:val="22"/>
          <w:szCs w:val="22"/>
        </w:rPr>
        <w:t xml:space="preserve"> </w:t>
      </w:r>
      <w:r w:rsidR="00D37AD5">
        <w:rPr>
          <w:sz w:val="22"/>
          <w:szCs w:val="22"/>
        </w:rPr>
        <w:t xml:space="preserve">SCSs </w:t>
      </w:r>
      <w:r w:rsidR="00D531E0">
        <w:rPr>
          <w:sz w:val="22"/>
          <w:szCs w:val="22"/>
        </w:rPr>
        <w:t>only</w:t>
      </w:r>
      <w:r w:rsidRPr="00B45BF4">
        <w:rPr>
          <w:sz w:val="22"/>
          <w:szCs w:val="22"/>
        </w:rPr>
        <w:t xml:space="preserve">. </w:t>
      </w:r>
      <w:r w:rsidR="00EA68E6">
        <w:rPr>
          <w:sz w:val="22"/>
          <w:szCs w:val="22"/>
        </w:rPr>
        <w:t xml:space="preserve">These are defined </w:t>
      </w:r>
      <w:r w:rsidR="00C11CAC">
        <w:rPr>
          <w:sz w:val="22"/>
          <w:szCs w:val="22"/>
        </w:rPr>
        <w:t>in</w:t>
      </w:r>
      <w:r w:rsidR="00EA68E6">
        <w:rPr>
          <w:sz w:val="22"/>
          <w:szCs w:val="22"/>
        </w:rPr>
        <w:t xml:space="preserve"> different feature groups</w:t>
      </w:r>
      <w:r w:rsidR="00D531E0">
        <w:rPr>
          <w:sz w:val="22"/>
          <w:szCs w:val="22"/>
        </w:rPr>
        <w:t xml:space="preserve"> (</w:t>
      </w:r>
      <w:r w:rsidR="00C11CAC">
        <w:rPr>
          <w:sz w:val="22"/>
          <w:szCs w:val="22"/>
        </w:rPr>
        <w:t>FG 11-2, FG 11-2a</w:t>
      </w:r>
      <w:r w:rsidR="00D531E0">
        <w:rPr>
          <w:sz w:val="22"/>
          <w:szCs w:val="22"/>
        </w:rPr>
        <w:t xml:space="preserve"> )</w:t>
      </w:r>
      <w:r w:rsidR="00C11CAC">
        <w:rPr>
          <w:sz w:val="22"/>
          <w:szCs w:val="22"/>
        </w:rPr>
        <w:t xml:space="preserve"> </w:t>
      </w:r>
      <w:r w:rsidR="00C11CAC">
        <w:rPr>
          <w:sz w:val="22"/>
          <w:szCs w:val="22"/>
        </w:rPr>
        <w:fldChar w:fldCharType="begin"/>
      </w:r>
      <w:r w:rsidR="00C11CAC">
        <w:rPr>
          <w:sz w:val="22"/>
          <w:szCs w:val="22"/>
        </w:rPr>
        <w:instrText xml:space="preserve"> REF _Ref61336531 \r \h </w:instrText>
      </w:r>
      <w:r w:rsidR="00006719">
        <w:rPr>
          <w:sz w:val="22"/>
          <w:szCs w:val="22"/>
        </w:rPr>
        <w:instrText xml:space="preserve"> \* MERGEFORMAT </w:instrText>
      </w:r>
      <w:r w:rsidR="00C11CAC">
        <w:rPr>
          <w:sz w:val="22"/>
          <w:szCs w:val="22"/>
        </w:rPr>
      </w:r>
      <w:r w:rsidR="00C11CAC">
        <w:rPr>
          <w:sz w:val="22"/>
          <w:szCs w:val="22"/>
        </w:rPr>
        <w:fldChar w:fldCharType="separate"/>
      </w:r>
      <w:r w:rsidR="00D37AD5">
        <w:rPr>
          <w:sz w:val="22"/>
          <w:szCs w:val="22"/>
        </w:rPr>
        <w:t>[7]</w:t>
      </w:r>
      <w:r w:rsidR="00C11CAC">
        <w:rPr>
          <w:sz w:val="22"/>
          <w:szCs w:val="22"/>
        </w:rPr>
        <w:fldChar w:fldCharType="end"/>
      </w:r>
      <w:r w:rsidR="00EA68E6">
        <w:rPr>
          <w:sz w:val="22"/>
          <w:szCs w:val="22"/>
        </w:rPr>
        <w:t xml:space="preserve">. </w:t>
      </w:r>
      <w:r w:rsidRPr="00B45BF4">
        <w:rPr>
          <w:sz w:val="22"/>
          <w:szCs w:val="22"/>
        </w:rPr>
        <w:t xml:space="preserve">The UE processing limits </w:t>
      </w:r>
      <w:r w:rsidR="00347C0B">
        <w:rPr>
          <w:sz w:val="22"/>
          <w:szCs w:val="22"/>
        </w:rPr>
        <w:t xml:space="preserve">and procedures (including overbooking and dropping) </w:t>
      </w:r>
      <w:r w:rsidRPr="00B45BF4">
        <w:rPr>
          <w:sz w:val="22"/>
          <w:szCs w:val="22"/>
        </w:rPr>
        <w:t>are defined per span.</w:t>
      </w:r>
    </w:p>
    <w:p w14:paraId="0668333F" w14:textId="2A015F26" w:rsidR="008A13B7" w:rsidRDefault="008A13B7" w:rsidP="00006719">
      <w:pPr>
        <w:jc w:val="both"/>
        <w:rPr>
          <w:sz w:val="22"/>
          <w:szCs w:val="22"/>
        </w:rPr>
      </w:pPr>
    </w:p>
    <w:p w14:paraId="0D4DE910" w14:textId="46D9430B" w:rsidR="008A13B7" w:rsidRDefault="008A13B7" w:rsidP="00006719">
      <w:pPr>
        <w:pStyle w:val="Heading2"/>
        <w:jc w:val="both"/>
      </w:pPr>
      <w:r>
        <w:t>PDCCH Monitoring for Rel</w:t>
      </w:r>
      <w:r w:rsidR="00A3059C">
        <w:t>-17</w:t>
      </w:r>
    </w:p>
    <w:p w14:paraId="18D49670" w14:textId="334169BE" w:rsidR="00C83BF6" w:rsidRPr="00B45BF4" w:rsidRDefault="00D37AD5" w:rsidP="00006719">
      <w:pPr>
        <w:jc w:val="both"/>
        <w:rPr>
          <w:sz w:val="22"/>
          <w:szCs w:val="22"/>
        </w:rPr>
      </w:pPr>
      <w:r>
        <w:rPr>
          <w:sz w:val="22"/>
          <w:szCs w:val="22"/>
        </w:rPr>
        <w:t>A</w:t>
      </w:r>
      <w:r w:rsidR="00ED211C">
        <w:rPr>
          <w:sz w:val="22"/>
          <w:szCs w:val="22"/>
        </w:rPr>
        <w:t xml:space="preserve"> Rel-17</w:t>
      </w:r>
      <w:r w:rsidR="00C83BF6" w:rsidRPr="00B45BF4">
        <w:rPr>
          <w:sz w:val="22"/>
          <w:szCs w:val="22"/>
        </w:rPr>
        <w:t xml:space="preserve"> UE may be required </w:t>
      </w:r>
      <w:r w:rsidR="00EB5BA6">
        <w:rPr>
          <w:sz w:val="22"/>
          <w:szCs w:val="22"/>
        </w:rPr>
        <w:t>to</w:t>
      </w:r>
      <w:r w:rsidR="00C83BF6" w:rsidRPr="00B45BF4">
        <w:rPr>
          <w:sz w:val="22"/>
          <w:szCs w:val="22"/>
        </w:rPr>
        <w:t xml:space="preserve"> increase its PDCCH processing capabilities </w:t>
      </w:r>
      <w:r w:rsidR="00EB5BA6">
        <w:rPr>
          <w:sz w:val="22"/>
          <w:szCs w:val="22"/>
        </w:rPr>
        <w:t xml:space="preserve">for the new SCSs (480 kHz and 960 kHz) </w:t>
      </w:r>
      <w:r w:rsidR="00C83BF6" w:rsidRPr="00B45BF4">
        <w:rPr>
          <w:sz w:val="22"/>
          <w:szCs w:val="22"/>
        </w:rPr>
        <w:t>compared with Rel-15/Rel-16 operation</w:t>
      </w:r>
      <w:r w:rsidR="00EB5BA6">
        <w:rPr>
          <w:sz w:val="22"/>
          <w:szCs w:val="22"/>
        </w:rPr>
        <w:t xml:space="preserve"> with a maximum data/control SCS of 120 kHz</w:t>
      </w:r>
      <w:r>
        <w:rPr>
          <w:sz w:val="22"/>
          <w:szCs w:val="22"/>
        </w:rPr>
        <w:t xml:space="preserve"> as the symbol duration decreases with the new SCSs</w:t>
      </w:r>
      <w:r w:rsidR="00C83BF6" w:rsidRPr="00B45BF4">
        <w:rPr>
          <w:sz w:val="22"/>
          <w:szCs w:val="22"/>
        </w:rPr>
        <w:t xml:space="preserve">. In one simple example, an increase in SCS to </w:t>
      </w:r>
      <w:r w:rsidR="00EB5BA6">
        <w:rPr>
          <w:sz w:val="22"/>
          <w:szCs w:val="22"/>
        </w:rPr>
        <w:t>960</w:t>
      </w:r>
      <w:r w:rsidR="00C83BF6" w:rsidRPr="00B45BF4">
        <w:rPr>
          <w:sz w:val="22"/>
          <w:szCs w:val="22"/>
        </w:rPr>
        <w:t xml:space="preserve"> kHz</w:t>
      </w:r>
      <w:r w:rsidR="00EB5BA6">
        <w:rPr>
          <w:sz w:val="22"/>
          <w:szCs w:val="22"/>
        </w:rPr>
        <w:t xml:space="preserve"> (480 kHz)</w:t>
      </w:r>
      <w:r w:rsidR="00C83BF6" w:rsidRPr="00B45BF4">
        <w:rPr>
          <w:sz w:val="22"/>
          <w:szCs w:val="22"/>
        </w:rPr>
        <w:t xml:space="preserve"> may require processing </w:t>
      </w:r>
      <w:r w:rsidR="00EB5BA6">
        <w:rPr>
          <w:sz w:val="22"/>
          <w:szCs w:val="22"/>
        </w:rPr>
        <w:t>8</w:t>
      </w:r>
      <w:r w:rsidR="00C83BF6" w:rsidRPr="00B45BF4">
        <w:rPr>
          <w:sz w:val="22"/>
          <w:szCs w:val="22"/>
        </w:rPr>
        <w:t xml:space="preserve"> times </w:t>
      </w:r>
      <w:r w:rsidR="00EB5BA6">
        <w:rPr>
          <w:sz w:val="22"/>
          <w:szCs w:val="22"/>
        </w:rPr>
        <w:t xml:space="preserve">(4 times) </w:t>
      </w:r>
      <w:r w:rsidR="00C83BF6" w:rsidRPr="00B45BF4">
        <w:rPr>
          <w:sz w:val="22"/>
          <w:szCs w:val="22"/>
        </w:rPr>
        <w:t xml:space="preserve">as many slots as a 120 kHz system in the same amount of time. </w:t>
      </w:r>
      <w:r w:rsidR="00EB5BA6">
        <w:rPr>
          <w:sz w:val="22"/>
          <w:szCs w:val="22"/>
        </w:rPr>
        <w:t>Depending on the PDCCH monitoring limits per slot per CC in the 960 kHz  (480 kHz) SCS, this may result in a large increase in PDCCH monitoring complexity</w:t>
      </w:r>
      <w:r>
        <w:rPr>
          <w:sz w:val="22"/>
          <w:szCs w:val="22"/>
        </w:rPr>
        <w:t xml:space="preserve"> over the same time duration as that occupied </w:t>
      </w:r>
      <w:r>
        <w:rPr>
          <w:sz w:val="22"/>
          <w:szCs w:val="22"/>
        </w:rPr>
        <w:lastRenderedPageBreak/>
        <w:t>by a slot with a 120 kHz SCS</w:t>
      </w:r>
      <w:r w:rsidR="00EB5BA6">
        <w:rPr>
          <w:sz w:val="22"/>
          <w:szCs w:val="22"/>
        </w:rPr>
        <w:t xml:space="preserve">. </w:t>
      </w:r>
      <w:r w:rsidR="00C83BF6" w:rsidRPr="00B45BF4">
        <w:rPr>
          <w:sz w:val="22"/>
          <w:szCs w:val="22"/>
        </w:rPr>
        <w:t xml:space="preserve">As such, the PDCCH processing procedure as well as the capability limits may need to be </w:t>
      </w:r>
      <w:r w:rsidR="00EB5BA6">
        <w:rPr>
          <w:sz w:val="22"/>
          <w:szCs w:val="22"/>
        </w:rPr>
        <w:t>carefully selected</w:t>
      </w:r>
      <w:r w:rsidR="00C83BF6" w:rsidRPr="00B45BF4">
        <w:rPr>
          <w:sz w:val="22"/>
          <w:szCs w:val="22"/>
        </w:rPr>
        <w:t xml:space="preserve">. </w:t>
      </w:r>
    </w:p>
    <w:p w14:paraId="2E9BFE23" w14:textId="77777777" w:rsidR="00C83BF6" w:rsidRPr="00B45BF4" w:rsidRDefault="00C83BF6" w:rsidP="00006719">
      <w:pPr>
        <w:jc w:val="both"/>
        <w:rPr>
          <w:sz w:val="22"/>
          <w:szCs w:val="22"/>
        </w:rPr>
      </w:pPr>
    </w:p>
    <w:p w14:paraId="3A05C5D3" w14:textId="77777777" w:rsidR="00D37AD5" w:rsidRDefault="00D37AD5" w:rsidP="00006719">
      <w:pPr>
        <w:jc w:val="both"/>
        <w:rPr>
          <w:sz w:val="22"/>
          <w:szCs w:val="22"/>
        </w:rPr>
      </w:pPr>
    </w:p>
    <w:p w14:paraId="61E6E60E" w14:textId="5A9F26AE" w:rsidR="00C83BF6" w:rsidRPr="00B45BF4" w:rsidRDefault="00D37AD5" w:rsidP="00006719">
      <w:pPr>
        <w:jc w:val="both"/>
        <w:rPr>
          <w:sz w:val="22"/>
          <w:szCs w:val="22"/>
        </w:rPr>
      </w:pPr>
      <w:r w:rsidRPr="00B45BF4">
        <w:rPr>
          <w:sz w:val="22"/>
          <w:szCs w:val="22"/>
        </w:rPr>
        <w:t>To manage the PDCCH monitoring complexity</w:t>
      </w:r>
      <w:r>
        <w:rPr>
          <w:sz w:val="22"/>
          <w:szCs w:val="22"/>
        </w:rPr>
        <w:t xml:space="preserve"> in Rel -17 UEs</w:t>
      </w:r>
      <w:r w:rsidRPr="00B45BF4">
        <w:rPr>
          <w:sz w:val="22"/>
          <w:szCs w:val="22"/>
        </w:rPr>
        <w:t xml:space="preserve">, we </w:t>
      </w:r>
      <w:r>
        <w:rPr>
          <w:sz w:val="22"/>
          <w:szCs w:val="22"/>
        </w:rPr>
        <w:t>have three options, per slot (Rel-15), per span (Rel-16) or for durations more than a slot.</w:t>
      </w:r>
    </w:p>
    <w:p w14:paraId="7B492510" w14:textId="77777777" w:rsidR="00075735" w:rsidRDefault="00075735" w:rsidP="00006719">
      <w:pPr>
        <w:jc w:val="both"/>
        <w:rPr>
          <w:sz w:val="22"/>
          <w:szCs w:val="22"/>
        </w:rPr>
      </w:pPr>
    </w:p>
    <w:p w14:paraId="6851BE9A" w14:textId="26113FBA" w:rsidR="00D37AD5" w:rsidRPr="00D37AD5" w:rsidRDefault="00D37AD5" w:rsidP="00D37AD5">
      <w:pPr>
        <w:pStyle w:val="ListParagraph"/>
        <w:numPr>
          <w:ilvl w:val="0"/>
          <w:numId w:val="30"/>
        </w:numPr>
        <w:ind w:leftChars="0"/>
        <w:jc w:val="both"/>
        <w:rPr>
          <w:sz w:val="22"/>
          <w:szCs w:val="22"/>
        </w:rPr>
      </w:pPr>
      <w:r w:rsidRPr="00EA68E6">
        <w:rPr>
          <w:b/>
          <w:bCs/>
          <w:sz w:val="22"/>
          <w:szCs w:val="22"/>
        </w:rPr>
        <w:t xml:space="preserve">Define  PDCCH monitoring limits and procedures </w:t>
      </w:r>
      <w:r>
        <w:rPr>
          <w:b/>
          <w:bCs/>
          <w:sz w:val="22"/>
          <w:szCs w:val="22"/>
        </w:rPr>
        <w:t xml:space="preserve">per span: </w:t>
      </w:r>
      <w:r w:rsidRPr="00D37AD5">
        <w:rPr>
          <w:sz w:val="22"/>
          <w:szCs w:val="22"/>
        </w:rPr>
        <w:t xml:space="preserve">As a first step, given that Rel-16 PDCCH monitoring for URLLC is only applicable to 15 kHz and 30 kHz, </w:t>
      </w:r>
      <w:r>
        <w:rPr>
          <w:sz w:val="22"/>
          <w:szCs w:val="22"/>
        </w:rPr>
        <w:t xml:space="preserve">and not for 60 kHz and 120 kHz, </w:t>
      </w:r>
      <w:r w:rsidRPr="00D37AD5">
        <w:rPr>
          <w:sz w:val="22"/>
          <w:szCs w:val="22"/>
        </w:rPr>
        <w:t>we may eliminate per-span PDCCH monitoring from consideration</w:t>
      </w:r>
      <w:r>
        <w:rPr>
          <w:sz w:val="22"/>
          <w:szCs w:val="22"/>
        </w:rPr>
        <w:t xml:space="preserve"> with the new SCSs of 480 kHz and 960 kHz</w:t>
      </w:r>
      <w:r w:rsidRPr="00D37AD5">
        <w:rPr>
          <w:sz w:val="22"/>
          <w:szCs w:val="22"/>
        </w:rPr>
        <w:t xml:space="preserve"> </w:t>
      </w:r>
      <w:r w:rsidR="00B31BFF" w:rsidRPr="00D37AD5">
        <w:rPr>
          <w:b/>
          <w:bCs/>
          <w:sz w:val="22"/>
          <w:szCs w:val="22"/>
        </w:rPr>
        <w:t>i.e.,</w:t>
      </w:r>
      <w:r w:rsidRPr="00D37AD5">
        <w:rPr>
          <w:b/>
          <w:bCs/>
          <w:sz w:val="22"/>
          <w:szCs w:val="22"/>
        </w:rPr>
        <w:t xml:space="preserve"> span-based PDCCH monitoring limits should not be applicable to Rel-17 UEs. </w:t>
      </w:r>
    </w:p>
    <w:p w14:paraId="5E675A68" w14:textId="77777777" w:rsidR="00D37AD5" w:rsidRPr="00D37AD5" w:rsidRDefault="00D37AD5" w:rsidP="00D37AD5">
      <w:pPr>
        <w:pStyle w:val="ListParagraph"/>
        <w:ind w:leftChars="0" w:left="360" w:firstLine="0"/>
        <w:jc w:val="both"/>
        <w:rPr>
          <w:sz w:val="22"/>
          <w:szCs w:val="22"/>
        </w:rPr>
      </w:pPr>
    </w:p>
    <w:p w14:paraId="3D53F05B" w14:textId="0F584561" w:rsidR="00075735" w:rsidRPr="00855551" w:rsidRDefault="00C525F7" w:rsidP="00006719">
      <w:pPr>
        <w:pStyle w:val="ListParagraph"/>
        <w:numPr>
          <w:ilvl w:val="0"/>
          <w:numId w:val="30"/>
        </w:numPr>
        <w:ind w:leftChars="0"/>
        <w:jc w:val="both"/>
        <w:rPr>
          <w:sz w:val="22"/>
          <w:szCs w:val="22"/>
        </w:rPr>
      </w:pPr>
      <w:r w:rsidRPr="00EA68E6">
        <w:rPr>
          <w:b/>
          <w:bCs/>
          <w:sz w:val="22"/>
          <w:szCs w:val="22"/>
        </w:rPr>
        <w:t xml:space="preserve">Define  PDCCH monitoring limits and procedures </w:t>
      </w:r>
      <w:r w:rsidR="00123C79" w:rsidRPr="00EA68E6">
        <w:rPr>
          <w:b/>
          <w:bCs/>
          <w:sz w:val="22"/>
          <w:szCs w:val="22"/>
        </w:rPr>
        <w:t>over a single</w:t>
      </w:r>
      <w:r w:rsidR="00A3059C">
        <w:rPr>
          <w:b/>
          <w:bCs/>
          <w:sz w:val="22"/>
          <w:szCs w:val="22"/>
        </w:rPr>
        <w:t xml:space="preserve"> slot</w:t>
      </w:r>
      <w:r w:rsidR="00855551">
        <w:rPr>
          <w:b/>
          <w:bCs/>
          <w:sz w:val="22"/>
          <w:szCs w:val="22"/>
        </w:rPr>
        <w:t xml:space="preserve">: </w:t>
      </w:r>
      <w:r w:rsidR="00855551" w:rsidRPr="00855551">
        <w:rPr>
          <w:sz w:val="22"/>
          <w:szCs w:val="22"/>
        </w:rPr>
        <w:t>In this case, we need to</w:t>
      </w:r>
      <w:r w:rsidR="00855551">
        <w:rPr>
          <w:b/>
          <w:bCs/>
          <w:sz w:val="22"/>
          <w:szCs w:val="22"/>
        </w:rPr>
        <w:t xml:space="preserve"> </w:t>
      </w:r>
      <w:r w:rsidRPr="00EA68E6">
        <w:rPr>
          <w:sz w:val="22"/>
          <w:szCs w:val="22"/>
        </w:rPr>
        <w:t xml:space="preserve"> modify the UE processing limits accordingly. Using a simple example, we show that this design may require a large increase in UE complexity</w:t>
      </w:r>
      <w:r w:rsidR="00123C79" w:rsidRPr="00EA68E6">
        <w:rPr>
          <w:sz w:val="22"/>
          <w:szCs w:val="22"/>
        </w:rPr>
        <w:t xml:space="preserve"> (</w:t>
      </w:r>
      <w:r w:rsidR="00123C79" w:rsidRPr="00855551">
        <w:rPr>
          <w:sz w:val="22"/>
          <w:szCs w:val="22"/>
        </w:rPr>
        <w:t xml:space="preserve">See </w:t>
      </w:r>
      <w:r w:rsidR="00EB5BA6" w:rsidRPr="00855551">
        <w:rPr>
          <w:sz w:val="22"/>
          <w:szCs w:val="22"/>
        </w:rPr>
        <w:fldChar w:fldCharType="begin"/>
      </w:r>
      <w:r w:rsidR="00EB5BA6" w:rsidRPr="00855551">
        <w:rPr>
          <w:sz w:val="22"/>
          <w:szCs w:val="22"/>
        </w:rPr>
        <w:instrText xml:space="preserve"> REF _Ref61337089 \h </w:instrText>
      </w:r>
      <w:r w:rsidR="00006719" w:rsidRPr="00855551">
        <w:rPr>
          <w:sz w:val="22"/>
          <w:szCs w:val="22"/>
        </w:rPr>
        <w:instrText xml:space="preserve"> \* MERGEFORMAT </w:instrText>
      </w:r>
      <w:r w:rsidR="00EB5BA6" w:rsidRPr="00855551">
        <w:rPr>
          <w:sz w:val="22"/>
          <w:szCs w:val="22"/>
        </w:rPr>
      </w:r>
      <w:r w:rsidR="00EB5BA6" w:rsidRPr="00855551">
        <w:rPr>
          <w:sz w:val="22"/>
          <w:szCs w:val="22"/>
        </w:rPr>
        <w:fldChar w:fldCharType="separate"/>
      </w:r>
      <w:r w:rsidR="00D37AD5" w:rsidRPr="00855551">
        <w:rPr>
          <w:sz w:val="22"/>
          <w:szCs w:val="22"/>
        </w:rPr>
        <w:t xml:space="preserve">Figure </w:t>
      </w:r>
      <w:r w:rsidR="00D37AD5" w:rsidRPr="00855551">
        <w:rPr>
          <w:noProof/>
          <w:sz w:val="22"/>
          <w:szCs w:val="22"/>
        </w:rPr>
        <w:t>1</w:t>
      </w:r>
      <w:r w:rsidR="00EB5BA6" w:rsidRPr="00855551">
        <w:rPr>
          <w:sz w:val="22"/>
          <w:szCs w:val="22"/>
        </w:rPr>
        <w:fldChar w:fldCharType="end"/>
      </w:r>
      <w:r w:rsidR="00123C79" w:rsidRPr="00855551">
        <w:rPr>
          <w:sz w:val="22"/>
          <w:szCs w:val="22"/>
        </w:rPr>
        <w:t>)</w:t>
      </w:r>
      <w:r w:rsidRPr="00855551">
        <w:rPr>
          <w:sz w:val="22"/>
          <w:szCs w:val="22"/>
        </w:rPr>
        <w:t xml:space="preserve">. For a 120 kHz SCS,  the maximum number of non-overlapped CCEs per component carrier </w:t>
      </w:r>
      <w:r w:rsidR="00EB5BA6" w:rsidRPr="00855551">
        <w:rPr>
          <w:sz w:val="22"/>
          <w:szCs w:val="22"/>
        </w:rPr>
        <w:t xml:space="preserve">(#CCEs) </w:t>
      </w:r>
      <w:r w:rsidRPr="00855551">
        <w:rPr>
          <w:sz w:val="22"/>
          <w:szCs w:val="22"/>
        </w:rPr>
        <w:t>is set to 32</w:t>
      </w:r>
      <w:r w:rsidR="00123C79" w:rsidRPr="00855551">
        <w:rPr>
          <w:sz w:val="22"/>
          <w:szCs w:val="22"/>
        </w:rPr>
        <w:t xml:space="preserve"> (</w:t>
      </w:r>
      <w:r w:rsidR="00EB5BA6" w:rsidRPr="00855551">
        <w:rPr>
          <w:sz w:val="22"/>
          <w:szCs w:val="22"/>
        </w:rPr>
        <w:fldChar w:fldCharType="begin"/>
      </w:r>
      <w:r w:rsidR="00EB5BA6" w:rsidRPr="00855551">
        <w:rPr>
          <w:sz w:val="22"/>
          <w:szCs w:val="22"/>
        </w:rPr>
        <w:instrText xml:space="preserve"> REF _Ref61337089 \h </w:instrText>
      </w:r>
      <w:r w:rsidR="00006719" w:rsidRPr="00855551">
        <w:rPr>
          <w:sz w:val="22"/>
          <w:szCs w:val="22"/>
        </w:rPr>
        <w:instrText xml:space="preserve"> \* MERGEFORMAT </w:instrText>
      </w:r>
      <w:r w:rsidR="00EB5BA6" w:rsidRPr="00855551">
        <w:rPr>
          <w:sz w:val="22"/>
          <w:szCs w:val="22"/>
        </w:rPr>
      </w:r>
      <w:r w:rsidR="00EB5BA6" w:rsidRPr="00855551">
        <w:rPr>
          <w:sz w:val="22"/>
          <w:szCs w:val="22"/>
        </w:rPr>
        <w:fldChar w:fldCharType="separate"/>
      </w:r>
      <w:r w:rsidR="00D37AD5" w:rsidRPr="00855551">
        <w:rPr>
          <w:sz w:val="22"/>
          <w:szCs w:val="22"/>
        </w:rPr>
        <w:t xml:space="preserve">Figure </w:t>
      </w:r>
      <w:r w:rsidR="00D37AD5" w:rsidRPr="00855551">
        <w:rPr>
          <w:noProof/>
          <w:sz w:val="22"/>
          <w:szCs w:val="22"/>
        </w:rPr>
        <w:t>1</w:t>
      </w:r>
      <w:r w:rsidR="00EB5BA6" w:rsidRPr="00855551">
        <w:rPr>
          <w:sz w:val="22"/>
          <w:szCs w:val="22"/>
        </w:rPr>
        <w:fldChar w:fldCharType="end"/>
      </w:r>
      <w:r w:rsidR="00123C79" w:rsidRPr="00855551">
        <w:rPr>
          <w:sz w:val="22"/>
          <w:szCs w:val="22"/>
        </w:rPr>
        <w:t>a)</w:t>
      </w:r>
      <w:r w:rsidRPr="00855551">
        <w:rPr>
          <w:sz w:val="22"/>
          <w:szCs w:val="22"/>
        </w:rPr>
        <w:t>. This means that for a UE that is processing an SCS of 960 kHz with no increase in UE complexity</w:t>
      </w:r>
      <w:r w:rsidR="00855551">
        <w:rPr>
          <w:sz w:val="22"/>
          <w:szCs w:val="22"/>
        </w:rPr>
        <w:t xml:space="preserve"> over the same time duration as a 120 kHz slot will have t</w:t>
      </w:r>
      <w:r w:rsidR="00EB5BA6" w:rsidRPr="00855551">
        <w:rPr>
          <w:sz w:val="22"/>
          <w:szCs w:val="22"/>
        </w:rPr>
        <w:t>he #CCEs directly scaled</w:t>
      </w:r>
      <w:r w:rsidR="00855551">
        <w:rPr>
          <w:sz w:val="22"/>
          <w:szCs w:val="22"/>
        </w:rPr>
        <w:t xml:space="preserve"> to</w:t>
      </w:r>
      <w:r w:rsidRPr="00855551">
        <w:rPr>
          <w:sz w:val="22"/>
          <w:szCs w:val="22"/>
        </w:rPr>
        <w:t xml:space="preserve"> 4 meaning that the maximum aggregation level per DCI will be 4</w:t>
      </w:r>
      <w:r w:rsidR="00123C79" w:rsidRPr="00855551">
        <w:rPr>
          <w:sz w:val="22"/>
          <w:szCs w:val="22"/>
        </w:rPr>
        <w:t xml:space="preserve"> (</w:t>
      </w:r>
      <w:r w:rsidR="00EB5BA6" w:rsidRPr="00855551">
        <w:rPr>
          <w:sz w:val="22"/>
          <w:szCs w:val="22"/>
        </w:rPr>
        <w:fldChar w:fldCharType="begin"/>
      </w:r>
      <w:r w:rsidR="00EB5BA6" w:rsidRPr="00855551">
        <w:rPr>
          <w:sz w:val="22"/>
          <w:szCs w:val="22"/>
        </w:rPr>
        <w:instrText xml:space="preserve"> REF _Ref61337089 \h </w:instrText>
      </w:r>
      <w:r w:rsidR="00006719" w:rsidRPr="00855551">
        <w:rPr>
          <w:sz w:val="22"/>
          <w:szCs w:val="22"/>
        </w:rPr>
        <w:instrText xml:space="preserve"> \* MERGEFORMAT </w:instrText>
      </w:r>
      <w:r w:rsidR="00EB5BA6" w:rsidRPr="00855551">
        <w:rPr>
          <w:sz w:val="22"/>
          <w:szCs w:val="22"/>
        </w:rPr>
      </w:r>
      <w:r w:rsidR="00EB5BA6" w:rsidRPr="00855551">
        <w:rPr>
          <w:sz w:val="22"/>
          <w:szCs w:val="22"/>
        </w:rPr>
        <w:fldChar w:fldCharType="separate"/>
      </w:r>
      <w:r w:rsidR="00D37AD5" w:rsidRPr="00855551">
        <w:rPr>
          <w:sz w:val="22"/>
          <w:szCs w:val="22"/>
        </w:rPr>
        <w:t xml:space="preserve">Figure </w:t>
      </w:r>
      <w:r w:rsidR="00D37AD5" w:rsidRPr="00855551">
        <w:rPr>
          <w:noProof/>
          <w:sz w:val="22"/>
          <w:szCs w:val="22"/>
        </w:rPr>
        <w:t>1</w:t>
      </w:r>
      <w:r w:rsidR="00EB5BA6" w:rsidRPr="00855551">
        <w:rPr>
          <w:sz w:val="22"/>
          <w:szCs w:val="22"/>
        </w:rPr>
        <w:fldChar w:fldCharType="end"/>
      </w:r>
      <w:r w:rsidR="00123C79" w:rsidRPr="00855551">
        <w:rPr>
          <w:sz w:val="22"/>
          <w:szCs w:val="22"/>
        </w:rPr>
        <w:t>b)</w:t>
      </w:r>
      <w:r w:rsidRPr="00855551">
        <w:rPr>
          <w:sz w:val="22"/>
          <w:szCs w:val="22"/>
        </w:rPr>
        <w:t xml:space="preserve">. </w:t>
      </w:r>
      <w:r w:rsidR="00855551" w:rsidRPr="00855551">
        <w:rPr>
          <w:sz w:val="22"/>
          <w:szCs w:val="22"/>
        </w:rPr>
        <w:t>Note that direct scaling may not be possible due to the fact that there may be some internal operations on PDCCH monitoring that are not directly scalable, implying that an increase in complexity over Rel-15 PDCCH monitoring is required.</w:t>
      </w:r>
      <w:r w:rsidR="00855551" w:rsidRPr="00855551">
        <w:rPr>
          <w:noProof/>
          <w:sz w:val="22"/>
          <w:szCs w:val="22"/>
        </w:rPr>
        <w:t xml:space="preserve"> </w:t>
      </w:r>
      <w:r w:rsidRPr="00855551">
        <w:rPr>
          <w:sz w:val="22"/>
          <w:szCs w:val="22"/>
        </w:rPr>
        <w:t xml:space="preserve">To enable an aggregation level of 16 </w:t>
      </w:r>
      <w:r w:rsidR="00123C79" w:rsidRPr="00855551">
        <w:rPr>
          <w:sz w:val="22"/>
          <w:szCs w:val="22"/>
        </w:rPr>
        <w:t xml:space="preserve">per slot would require </w:t>
      </w:r>
      <w:r w:rsidR="00855551">
        <w:rPr>
          <w:sz w:val="22"/>
          <w:szCs w:val="22"/>
        </w:rPr>
        <w:t xml:space="preserve">setting the #CCEs to </w:t>
      </w:r>
      <w:r w:rsidR="00123C79" w:rsidRPr="00855551">
        <w:rPr>
          <w:sz w:val="22"/>
          <w:szCs w:val="22"/>
        </w:rPr>
        <w:t>a</w:t>
      </w:r>
      <w:r w:rsidR="00EB5BA6" w:rsidRPr="00855551">
        <w:rPr>
          <w:sz w:val="22"/>
          <w:szCs w:val="22"/>
        </w:rPr>
        <w:t>t leas</w:t>
      </w:r>
      <w:r w:rsidR="00855551">
        <w:rPr>
          <w:sz w:val="22"/>
          <w:szCs w:val="22"/>
        </w:rPr>
        <w:t>t</w:t>
      </w:r>
      <w:r w:rsidR="00EB5BA6" w:rsidRPr="00855551">
        <w:rPr>
          <w:sz w:val="22"/>
          <w:szCs w:val="22"/>
        </w:rPr>
        <w:t xml:space="preserve"> 16 per slot which is a </w:t>
      </w:r>
      <w:r w:rsidR="00123C79" w:rsidRPr="00855551">
        <w:rPr>
          <w:sz w:val="22"/>
          <w:szCs w:val="22"/>
        </w:rPr>
        <w:t>4</w:t>
      </w:r>
      <w:r w:rsidR="00855551">
        <w:rPr>
          <w:sz w:val="22"/>
          <w:szCs w:val="22"/>
        </w:rPr>
        <w:t xml:space="preserve"> </w:t>
      </w:r>
      <w:r w:rsidR="00123C79" w:rsidRPr="00855551">
        <w:rPr>
          <w:sz w:val="22"/>
          <w:szCs w:val="22"/>
        </w:rPr>
        <w:t xml:space="preserve">x increase in complexity </w:t>
      </w:r>
      <w:r w:rsidR="00EB5BA6" w:rsidRPr="00855551">
        <w:rPr>
          <w:sz w:val="22"/>
          <w:szCs w:val="22"/>
        </w:rPr>
        <w:t xml:space="preserve">by the UE compared with the 120 kHz SCS case </w:t>
      </w:r>
      <w:r w:rsidR="00123C79" w:rsidRPr="00855551">
        <w:rPr>
          <w:sz w:val="22"/>
          <w:szCs w:val="22"/>
        </w:rPr>
        <w:t>(</w:t>
      </w:r>
      <w:r w:rsidR="00EB5BA6" w:rsidRPr="00855551">
        <w:rPr>
          <w:sz w:val="22"/>
          <w:szCs w:val="22"/>
        </w:rPr>
        <w:fldChar w:fldCharType="begin"/>
      </w:r>
      <w:r w:rsidR="00EB5BA6" w:rsidRPr="00855551">
        <w:rPr>
          <w:sz w:val="22"/>
          <w:szCs w:val="22"/>
        </w:rPr>
        <w:instrText xml:space="preserve"> REF _Ref61337089 \h </w:instrText>
      </w:r>
      <w:r w:rsidR="00006719" w:rsidRPr="00855551">
        <w:rPr>
          <w:sz w:val="22"/>
          <w:szCs w:val="22"/>
        </w:rPr>
        <w:instrText xml:space="preserve"> \* MERGEFORMAT </w:instrText>
      </w:r>
      <w:r w:rsidR="00EB5BA6" w:rsidRPr="00855551">
        <w:rPr>
          <w:sz w:val="22"/>
          <w:szCs w:val="22"/>
        </w:rPr>
      </w:r>
      <w:r w:rsidR="00EB5BA6" w:rsidRPr="00855551">
        <w:rPr>
          <w:sz w:val="22"/>
          <w:szCs w:val="22"/>
        </w:rPr>
        <w:fldChar w:fldCharType="separate"/>
      </w:r>
      <w:r w:rsidR="00D37AD5" w:rsidRPr="00855551">
        <w:rPr>
          <w:sz w:val="22"/>
          <w:szCs w:val="22"/>
        </w:rPr>
        <w:t xml:space="preserve">Figure </w:t>
      </w:r>
      <w:r w:rsidR="00D37AD5" w:rsidRPr="00855551">
        <w:rPr>
          <w:noProof/>
          <w:sz w:val="22"/>
          <w:szCs w:val="22"/>
        </w:rPr>
        <w:t>1</w:t>
      </w:r>
      <w:r w:rsidR="00EB5BA6" w:rsidRPr="00855551">
        <w:rPr>
          <w:sz w:val="22"/>
          <w:szCs w:val="22"/>
        </w:rPr>
        <w:fldChar w:fldCharType="end"/>
      </w:r>
      <w:r w:rsidR="00123C79" w:rsidRPr="00855551">
        <w:rPr>
          <w:sz w:val="22"/>
          <w:szCs w:val="22"/>
        </w:rPr>
        <w:t xml:space="preserve">c). </w:t>
      </w:r>
    </w:p>
    <w:p w14:paraId="0A2C62DB" w14:textId="77777777" w:rsidR="00075735" w:rsidRPr="00075735" w:rsidRDefault="00075735" w:rsidP="00006719">
      <w:pPr>
        <w:jc w:val="both"/>
        <w:rPr>
          <w:sz w:val="22"/>
          <w:szCs w:val="22"/>
        </w:rPr>
      </w:pPr>
    </w:p>
    <w:p w14:paraId="69075A0C" w14:textId="0A510BEF" w:rsidR="00123C79" w:rsidRDefault="00075735" w:rsidP="00006719">
      <w:pPr>
        <w:pStyle w:val="ListParagraph"/>
        <w:ind w:leftChars="0" w:left="360" w:firstLine="0"/>
        <w:jc w:val="both"/>
        <w:rPr>
          <w:sz w:val="22"/>
          <w:szCs w:val="22"/>
        </w:rPr>
      </w:pPr>
      <w:r w:rsidRPr="00123C79">
        <w:rPr>
          <w:noProof/>
          <w:sz w:val="22"/>
          <w:szCs w:val="22"/>
        </w:rPr>
        <w:drawing>
          <wp:inline distT="0" distB="0" distL="0" distR="0" wp14:anchorId="180E55AE" wp14:editId="35EEAA32">
            <wp:extent cx="5806459" cy="1747520"/>
            <wp:effectExtent l="0" t="0" r="0" b="5080"/>
            <wp:docPr id="12" name="Picture 12"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alendar&#10;&#10;Description automatically generated"/>
                    <pic:cNvPicPr/>
                  </pic:nvPicPr>
                  <pic:blipFill>
                    <a:blip r:embed="rId8"/>
                    <a:stretch>
                      <a:fillRect/>
                    </a:stretch>
                  </pic:blipFill>
                  <pic:spPr>
                    <a:xfrm>
                      <a:off x="0" y="0"/>
                      <a:ext cx="5849869" cy="1760585"/>
                    </a:xfrm>
                    <a:prstGeom prst="rect">
                      <a:avLst/>
                    </a:prstGeom>
                  </pic:spPr>
                </pic:pic>
              </a:graphicData>
            </a:graphic>
          </wp:inline>
        </w:drawing>
      </w:r>
    </w:p>
    <w:p w14:paraId="62438C11" w14:textId="77777777" w:rsidR="00075735" w:rsidRPr="00EA68E6" w:rsidRDefault="00075735" w:rsidP="00006719">
      <w:pPr>
        <w:pStyle w:val="ListParagraph"/>
        <w:ind w:leftChars="0" w:left="360" w:firstLine="0"/>
        <w:jc w:val="both"/>
        <w:rPr>
          <w:sz w:val="22"/>
          <w:szCs w:val="22"/>
        </w:rPr>
      </w:pPr>
    </w:p>
    <w:p w14:paraId="79CA04F7" w14:textId="2962C407" w:rsidR="00075735" w:rsidRDefault="00075735" w:rsidP="00006719">
      <w:pPr>
        <w:pStyle w:val="Caption"/>
      </w:pPr>
      <w:bookmarkStart w:id="4" w:name="_Ref61337089"/>
      <w:r>
        <w:t xml:space="preserve">Figure </w:t>
      </w:r>
      <w:fldSimple w:instr=" SEQ Figure \* ARABIC ">
        <w:r w:rsidR="00D37AD5">
          <w:rPr>
            <w:noProof/>
          </w:rPr>
          <w:t>1</w:t>
        </w:r>
      </w:fldSimple>
      <w:bookmarkEnd w:id="4"/>
      <w:r>
        <w:t>: Number of non-overlapping CCEs for different SCSs and Scenarios</w:t>
      </w:r>
    </w:p>
    <w:p w14:paraId="28A0F2EA" w14:textId="77777777" w:rsidR="00123C79" w:rsidRPr="00123C79" w:rsidRDefault="00123C79" w:rsidP="00006719">
      <w:pPr>
        <w:jc w:val="both"/>
        <w:rPr>
          <w:sz w:val="22"/>
          <w:szCs w:val="22"/>
        </w:rPr>
      </w:pPr>
    </w:p>
    <w:p w14:paraId="3B8417A8" w14:textId="026B60BB" w:rsidR="00123C79" w:rsidRPr="00075735" w:rsidRDefault="00C525F7" w:rsidP="00006719">
      <w:pPr>
        <w:pStyle w:val="ListParagraph"/>
        <w:keepNext/>
        <w:numPr>
          <w:ilvl w:val="0"/>
          <w:numId w:val="30"/>
        </w:numPr>
        <w:ind w:leftChars="0"/>
        <w:jc w:val="both"/>
        <w:rPr>
          <w:sz w:val="22"/>
          <w:szCs w:val="22"/>
        </w:rPr>
      </w:pPr>
      <w:r w:rsidRPr="00075735">
        <w:rPr>
          <w:b/>
          <w:bCs/>
          <w:sz w:val="22"/>
          <w:szCs w:val="22"/>
        </w:rPr>
        <w:t>Define</w:t>
      </w:r>
      <w:r w:rsidR="00C83BF6" w:rsidRPr="00075735">
        <w:rPr>
          <w:b/>
          <w:bCs/>
          <w:sz w:val="22"/>
          <w:szCs w:val="22"/>
        </w:rPr>
        <w:t xml:space="preserve"> PDCCH monitoring limits  over a group of slots</w:t>
      </w:r>
      <w:r w:rsidR="00C83BF6" w:rsidRPr="00075735">
        <w:rPr>
          <w:sz w:val="22"/>
          <w:szCs w:val="22"/>
        </w:rPr>
        <w:t xml:space="preserve"> </w:t>
      </w:r>
      <w:r w:rsidR="00855551">
        <w:rPr>
          <w:sz w:val="22"/>
          <w:szCs w:val="22"/>
        </w:rPr>
        <w:t xml:space="preserve">: </w:t>
      </w:r>
      <w:r w:rsidR="00C83BF6" w:rsidRPr="00075735">
        <w:rPr>
          <w:sz w:val="22"/>
          <w:szCs w:val="22"/>
        </w:rPr>
        <w:t>This allows defining PDCCH complexity over multiple slots while scheduling single or multiple PUSCH/PDSCH instances within (same slot-group scheduling) or across slot groups (cross-slot/cross-slot-group scheduling).</w:t>
      </w:r>
      <w:r w:rsidR="00123C79" w:rsidRPr="00075735">
        <w:rPr>
          <w:sz w:val="22"/>
          <w:szCs w:val="22"/>
        </w:rPr>
        <w:t xml:space="preserve"> Using the </w:t>
      </w:r>
      <w:r w:rsidR="00075735" w:rsidRPr="00075735">
        <w:rPr>
          <w:sz w:val="22"/>
          <w:szCs w:val="22"/>
        </w:rPr>
        <w:t xml:space="preserve">same </w:t>
      </w:r>
      <w:r w:rsidR="00123C79" w:rsidRPr="00075735">
        <w:rPr>
          <w:sz w:val="22"/>
          <w:szCs w:val="22"/>
        </w:rPr>
        <w:t xml:space="preserve">simple example, aggregating 4 slots together allows for an </w:t>
      </w:r>
      <w:r w:rsidR="00075735" w:rsidRPr="00075735">
        <w:rPr>
          <w:sz w:val="22"/>
          <w:szCs w:val="22"/>
        </w:rPr>
        <w:t>aggregation level</w:t>
      </w:r>
      <w:r w:rsidR="00123C79" w:rsidRPr="00075735">
        <w:rPr>
          <w:sz w:val="22"/>
          <w:szCs w:val="22"/>
        </w:rPr>
        <w:t xml:space="preserve"> of 16 while keeping the overall complexity in line with the 120 kHz SCS (</w:t>
      </w:r>
      <w:r w:rsidR="00EB5BA6" w:rsidRPr="00075735">
        <w:rPr>
          <w:sz w:val="22"/>
          <w:szCs w:val="22"/>
        </w:rPr>
        <w:fldChar w:fldCharType="begin"/>
      </w:r>
      <w:r w:rsidR="00EB5BA6" w:rsidRPr="00075735">
        <w:rPr>
          <w:sz w:val="22"/>
          <w:szCs w:val="22"/>
        </w:rPr>
        <w:instrText xml:space="preserve"> REF _Ref61337089 \h </w:instrText>
      </w:r>
      <w:r w:rsidR="00006719">
        <w:rPr>
          <w:sz w:val="22"/>
          <w:szCs w:val="22"/>
        </w:rPr>
        <w:instrText xml:space="preserve"> \* MERGEFORMAT </w:instrText>
      </w:r>
      <w:r w:rsidR="00EB5BA6" w:rsidRPr="00075735">
        <w:rPr>
          <w:sz w:val="22"/>
          <w:szCs w:val="22"/>
        </w:rPr>
      </w:r>
      <w:r w:rsidR="00EB5BA6" w:rsidRPr="00075735">
        <w:rPr>
          <w:sz w:val="22"/>
          <w:szCs w:val="22"/>
        </w:rPr>
        <w:fldChar w:fldCharType="separate"/>
      </w:r>
      <w:r w:rsidR="00D37AD5">
        <w:t xml:space="preserve">Figure </w:t>
      </w:r>
      <w:r w:rsidR="00D37AD5">
        <w:rPr>
          <w:noProof/>
        </w:rPr>
        <w:t>1</w:t>
      </w:r>
      <w:r w:rsidR="00EB5BA6" w:rsidRPr="00075735">
        <w:rPr>
          <w:sz w:val="22"/>
          <w:szCs w:val="22"/>
        </w:rPr>
        <w:fldChar w:fldCharType="end"/>
      </w:r>
      <w:r w:rsidR="00123C79" w:rsidRPr="00075735">
        <w:rPr>
          <w:sz w:val="22"/>
          <w:szCs w:val="22"/>
        </w:rPr>
        <w:t>d)</w:t>
      </w:r>
      <w:r w:rsidR="00075735" w:rsidRPr="00075735">
        <w:rPr>
          <w:sz w:val="22"/>
          <w:szCs w:val="22"/>
        </w:rPr>
        <w:t>.</w:t>
      </w:r>
      <w:r w:rsidR="00075735">
        <w:rPr>
          <w:sz w:val="22"/>
          <w:szCs w:val="22"/>
        </w:rPr>
        <w:t xml:space="preserve"> </w:t>
      </w:r>
      <w:r w:rsidR="00C83BF6" w:rsidRPr="00075735">
        <w:rPr>
          <w:sz w:val="22"/>
          <w:szCs w:val="22"/>
        </w:rPr>
        <w:t xml:space="preserve">The PDCCH monitoring procedures such as overbooking and dropping as well as the UE processing limits may be defined over the slot group. </w:t>
      </w:r>
    </w:p>
    <w:p w14:paraId="0576BAFB" w14:textId="6253C5BB" w:rsidR="00123C79" w:rsidRDefault="00123C79" w:rsidP="00006719">
      <w:pPr>
        <w:jc w:val="both"/>
        <w:rPr>
          <w:sz w:val="22"/>
          <w:szCs w:val="22"/>
        </w:rPr>
      </w:pPr>
    </w:p>
    <w:p w14:paraId="42D586A7" w14:textId="76288D12" w:rsidR="008A13B7" w:rsidRDefault="008A13B7" w:rsidP="00006719">
      <w:pPr>
        <w:jc w:val="both"/>
        <w:rPr>
          <w:sz w:val="22"/>
          <w:szCs w:val="22"/>
        </w:rPr>
      </w:pPr>
    </w:p>
    <w:p w14:paraId="2C333AEE" w14:textId="1EACF338" w:rsidR="00123C79" w:rsidRDefault="00123C79" w:rsidP="00006719">
      <w:pPr>
        <w:jc w:val="both"/>
        <w:rPr>
          <w:sz w:val="22"/>
          <w:szCs w:val="22"/>
        </w:rPr>
      </w:pPr>
      <w:r>
        <w:rPr>
          <w:sz w:val="22"/>
          <w:szCs w:val="22"/>
        </w:rPr>
        <w:t xml:space="preserve">To ensure that different UEs are able perform PDCCH monitoring </w:t>
      </w:r>
      <w:r w:rsidR="00075735">
        <w:rPr>
          <w:sz w:val="22"/>
          <w:szCs w:val="22"/>
        </w:rPr>
        <w:t xml:space="preserve">based on their individual capabilities </w:t>
      </w:r>
      <w:r>
        <w:rPr>
          <w:sz w:val="22"/>
          <w:szCs w:val="22"/>
        </w:rPr>
        <w:t>as in Rel</w:t>
      </w:r>
      <w:r w:rsidR="00075735">
        <w:rPr>
          <w:sz w:val="22"/>
          <w:szCs w:val="22"/>
        </w:rPr>
        <w:t>-</w:t>
      </w:r>
      <w:r>
        <w:rPr>
          <w:sz w:val="22"/>
          <w:szCs w:val="22"/>
        </w:rPr>
        <w:t xml:space="preserve">15, we define three types of </w:t>
      </w:r>
      <w:r w:rsidR="00075735">
        <w:rPr>
          <w:sz w:val="22"/>
          <w:szCs w:val="22"/>
        </w:rPr>
        <w:t xml:space="preserve">PDCCH </w:t>
      </w:r>
      <w:r>
        <w:rPr>
          <w:sz w:val="22"/>
          <w:szCs w:val="22"/>
        </w:rPr>
        <w:t>monitoring in a manner that mirrors the current specification:</w:t>
      </w:r>
    </w:p>
    <w:p w14:paraId="4BF64159" w14:textId="4135CD9F" w:rsidR="00123C79" w:rsidRDefault="00123C79" w:rsidP="00006719">
      <w:pPr>
        <w:jc w:val="both"/>
        <w:rPr>
          <w:sz w:val="22"/>
          <w:szCs w:val="22"/>
        </w:rPr>
      </w:pPr>
    </w:p>
    <w:p w14:paraId="34CF7A01" w14:textId="5FB01565" w:rsidR="00123C79" w:rsidRDefault="00123C79" w:rsidP="00006719">
      <w:pPr>
        <w:pStyle w:val="ListParagraph"/>
        <w:numPr>
          <w:ilvl w:val="0"/>
          <w:numId w:val="31"/>
        </w:numPr>
        <w:ind w:leftChars="0"/>
        <w:jc w:val="both"/>
        <w:rPr>
          <w:sz w:val="22"/>
          <w:szCs w:val="22"/>
        </w:rPr>
      </w:pPr>
      <w:r w:rsidRPr="00075735">
        <w:rPr>
          <w:b/>
          <w:bCs/>
          <w:sz w:val="22"/>
          <w:szCs w:val="22"/>
        </w:rPr>
        <w:lastRenderedPageBreak/>
        <w:t>Type 1:</w:t>
      </w:r>
      <w:r w:rsidRPr="00123C79">
        <w:rPr>
          <w:sz w:val="22"/>
          <w:szCs w:val="22"/>
        </w:rPr>
        <w:t xml:space="preserve"> For the slots  in the slot group, PDCCH monitoring occurs within the first X symbols of the multiple slots</w:t>
      </w:r>
      <w:r>
        <w:rPr>
          <w:sz w:val="22"/>
          <w:szCs w:val="22"/>
        </w:rPr>
        <w:t xml:space="preserve">. </w:t>
      </w:r>
      <w:r w:rsidR="00855551">
        <w:rPr>
          <w:sz w:val="22"/>
          <w:szCs w:val="22"/>
        </w:rPr>
        <w:t xml:space="preserve">Note that the scheduling can occur across the entire set of slots for </w:t>
      </w:r>
      <w:r w:rsidR="00B648D1">
        <w:rPr>
          <w:sz w:val="22"/>
          <w:szCs w:val="22"/>
        </w:rPr>
        <w:t>example</w:t>
      </w:r>
      <w:r w:rsidR="00855551">
        <w:rPr>
          <w:sz w:val="22"/>
          <w:szCs w:val="22"/>
        </w:rPr>
        <w:t xml:space="preserve"> by using multi-PDSCH/PUSCH transmission with a single DCI. </w:t>
      </w:r>
      <w:r w:rsidRPr="00123C79">
        <w:rPr>
          <w:sz w:val="22"/>
          <w:szCs w:val="22"/>
        </w:rPr>
        <w:t>This example mirrors FG 3-1 in Rel-15 in which PDCCH monitoring occurs in the first three symbols of the slot</w:t>
      </w:r>
      <w:r w:rsidR="00855551">
        <w:rPr>
          <w:sz w:val="22"/>
          <w:szCs w:val="22"/>
        </w:rPr>
        <w:t xml:space="preserve"> and is illustrated in </w:t>
      </w:r>
      <w:r w:rsidR="00855551">
        <w:rPr>
          <w:sz w:val="22"/>
          <w:szCs w:val="22"/>
        </w:rPr>
        <w:fldChar w:fldCharType="begin"/>
      </w:r>
      <w:r w:rsidR="00855551">
        <w:rPr>
          <w:sz w:val="22"/>
          <w:szCs w:val="22"/>
        </w:rPr>
        <w:instrText xml:space="preserve"> REF _Ref47718216 \h </w:instrText>
      </w:r>
      <w:r w:rsidR="00855551">
        <w:rPr>
          <w:sz w:val="22"/>
          <w:szCs w:val="22"/>
        </w:rPr>
      </w:r>
      <w:r w:rsidR="00855551">
        <w:rPr>
          <w:sz w:val="22"/>
          <w:szCs w:val="22"/>
        </w:rPr>
        <w:fldChar w:fldCharType="separate"/>
      </w:r>
      <w:r w:rsidR="00855551" w:rsidRPr="00B45BF4">
        <w:rPr>
          <w:sz w:val="22"/>
          <w:szCs w:val="22"/>
        </w:rPr>
        <w:t xml:space="preserve">Figure </w:t>
      </w:r>
      <w:r w:rsidR="00855551">
        <w:rPr>
          <w:noProof/>
          <w:sz w:val="22"/>
          <w:szCs w:val="22"/>
        </w:rPr>
        <w:t>2</w:t>
      </w:r>
      <w:r w:rsidR="00855551">
        <w:rPr>
          <w:sz w:val="22"/>
          <w:szCs w:val="22"/>
        </w:rPr>
        <w:fldChar w:fldCharType="end"/>
      </w:r>
      <w:r w:rsidR="00855551">
        <w:rPr>
          <w:sz w:val="22"/>
          <w:szCs w:val="22"/>
        </w:rPr>
        <w:t>.</w:t>
      </w:r>
    </w:p>
    <w:p w14:paraId="0131A3E7" w14:textId="77777777" w:rsidR="00B648D1" w:rsidRDefault="00B648D1" w:rsidP="00B648D1">
      <w:pPr>
        <w:pStyle w:val="ListParagraph"/>
        <w:ind w:leftChars="0" w:left="360" w:firstLine="0"/>
        <w:jc w:val="both"/>
        <w:rPr>
          <w:sz w:val="22"/>
          <w:szCs w:val="22"/>
        </w:rPr>
      </w:pPr>
    </w:p>
    <w:p w14:paraId="56537D68" w14:textId="77777777" w:rsidR="008A13B7" w:rsidRPr="008A13B7" w:rsidRDefault="008A13B7" w:rsidP="00006719">
      <w:pPr>
        <w:pStyle w:val="ListParagraph"/>
        <w:keepNext/>
        <w:ind w:leftChars="0" w:left="360" w:firstLine="0"/>
        <w:jc w:val="both"/>
        <w:rPr>
          <w:sz w:val="22"/>
          <w:szCs w:val="22"/>
        </w:rPr>
      </w:pPr>
      <w:r w:rsidRPr="00347C0B">
        <w:rPr>
          <w:noProof/>
        </w:rPr>
        <w:drawing>
          <wp:inline distT="0" distB="0" distL="0" distR="0" wp14:anchorId="59B249FA" wp14:editId="27CCE552">
            <wp:extent cx="5943600" cy="840740"/>
            <wp:effectExtent l="0" t="0" r="0"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9"/>
                    <a:stretch>
                      <a:fillRect/>
                    </a:stretch>
                  </pic:blipFill>
                  <pic:spPr>
                    <a:xfrm>
                      <a:off x="0" y="0"/>
                      <a:ext cx="5943600" cy="840740"/>
                    </a:xfrm>
                    <a:prstGeom prst="rect">
                      <a:avLst/>
                    </a:prstGeom>
                  </pic:spPr>
                </pic:pic>
              </a:graphicData>
            </a:graphic>
          </wp:inline>
        </w:drawing>
      </w:r>
    </w:p>
    <w:p w14:paraId="5BFED15A" w14:textId="3FE4A3D3" w:rsidR="008A13B7" w:rsidRPr="00B45BF4" w:rsidRDefault="008A13B7" w:rsidP="00006719">
      <w:pPr>
        <w:pStyle w:val="Caption"/>
        <w:ind w:left="360"/>
        <w:rPr>
          <w:i/>
          <w:iCs/>
          <w:sz w:val="22"/>
          <w:szCs w:val="22"/>
        </w:rPr>
      </w:pPr>
      <w:bookmarkStart w:id="5" w:name="_Ref47718216"/>
      <w:r w:rsidRPr="00B45BF4">
        <w:rPr>
          <w:sz w:val="22"/>
          <w:szCs w:val="22"/>
        </w:rPr>
        <w:t xml:space="preserve">Figure </w:t>
      </w:r>
      <w:r w:rsidRPr="00B45BF4">
        <w:rPr>
          <w:sz w:val="22"/>
          <w:szCs w:val="22"/>
        </w:rPr>
        <w:fldChar w:fldCharType="begin"/>
      </w:r>
      <w:r w:rsidRPr="00B45BF4">
        <w:rPr>
          <w:sz w:val="22"/>
          <w:szCs w:val="22"/>
        </w:rPr>
        <w:instrText xml:space="preserve"> SEQ Figure \* ARABIC </w:instrText>
      </w:r>
      <w:r w:rsidRPr="00B45BF4">
        <w:rPr>
          <w:sz w:val="22"/>
          <w:szCs w:val="22"/>
        </w:rPr>
        <w:fldChar w:fldCharType="separate"/>
      </w:r>
      <w:r w:rsidR="00D37AD5">
        <w:rPr>
          <w:noProof/>
          <w:sz w:val="22"/>
          <w:szCs w:val="22"/>
        </w:rPr>
        <w:t>2</w:t>
      </w:r>
      <w:r w:rsidRPr="00B45BF4">
        <w:rPr>
          <w:noProof/>
          <w:sz w:val="22"/>
          <w:szCs w:val="22"/>
        </w:rPr>
        <w:fldChar w:fldCharType="end"/>
      </w:r>
      <w:bookmarkEnd w:id="5"/>
      <w:r w:rsidRPr="00B45BF4">
        <w:rPr>
          <w:sz w:val="22"/>
          <w:szCs w:val="22"/>
        </w:rPr>
        <w:t xml:space="preserve">: </w:t>
      </w:r>
      <w:r>
        <w:rPr>
          <w:sz w:val="22"/>
          <w:szCs w:val="22"/>
        </w:rPr>
        <w:t xml:space="preserve">Type 1: </w:t>
      </w:r>
      <w:r w:rsidRPr="00B45BF4">
        <w:rPr>
          <w:sz w:val="22"/>
          <w:szCs w:val="22"/>
        </w:rPr>
        <w:t>Slot group with X symbols at the beginning of the slot group</w:t>
      </w:r>
    </w:p>
    <w:p w14:paraId="213701F9" w14:textId="77777777" w:rsidR="008A13B7" w:rsidRDefault="008A13B7" w:rsidP="00006719">
      <w:pPr>
        <w:pStyle w:val="ListParagraph"/>
        <w:ind w:leftChars="0" w:left="360" w:firstLine="0"/>
        <w:jc w:val="both"/>
        <w:rPr>
          <w:sz w:val="22"/>
          <w:szCs w:val="22"/>
        </w:rPr>
      </w:pPr>
    </w:p>
    <w:p w14:paraId="50045C2A" w14:textId="752B2410" w:rsidR="00123C79" w:rsidRDefault="00123C79" w:rsidP="00006719">
      <w:pPr>
        <w:jc w:val="both"/>
        <w:rPr>
          <w:sz w:val="22"/>
          <w:szCs w:val="22"/>
        </w:rPr>
      </w:pPr>
    </w:p>
    <w:p w14:paraId="71158223" w14:textId="12D31685" w:rsidR="00006719" w:rsidRDefault="00123C79" w:rsidP="00006719">
      <w:pPr>
        <w:pStyle w:val="ListParagraph"/>
        <w:numPr>
          <w:ilvl w:val="0"/>
          <w:numId w:val="31"/>
        </w:numPr>
        <w:ind w:leftChars="0"/>
        <w:jc w:val="both"/>
        <w:rPr>
          <w:sz w:val="22"/>
          <w:szCs w:val="22"/>
        </w:rPr>
      </w:pPr>
      <w:r w:rsidRPr="00075735">
        <w:rPr>
          <w:b/>
          <w:bCs/>
          <w:sz w:val="22"/>
          <w:szCs w:val="22"/>
        </w:rPr>
        <w:t>Type 2:</w:t>
      </w:r>
      <w:r w:rsidRPr="00123C79">
        <w:rPr>
          <w:sz w:val="22"/>
          <w:szCs w:val="22"/>
        </w:rPr>
        <w:t xml:space="preserve"> For the slots in the slot group, PDCCH monitoring occurs on any span of X consecutive symbols within the multiple slots. This example mirrors FG 3-</w:t>
      </w:r>
      <w:r>
        <w:rPr>
          <w:sz w:val="22"/>
          <w:szCs w:val="22"/>
        </w:rPr>
        <w:t>2</w:t>
      </w:r>
      <w:r w:rsidRPr="00123C79">
        <w:rPr>
          <w:sz w:val="22"/>
          <w:szCs w:val="22"/>
        </w:rPr>
        <w:t xml:space="preserve"> in Rel-15 in which PDCCH monitoring occurs in the first three symbols of the slot</w:t>
      </w:r>
      <w:r w:rsidR="00855551">
        <w:rPr>
          <w:sz w:val="22"/>
          <w:szCs w:val="22"/>
        </w:rPr>
        <w:t xml:space="preserve"> and is illustrated in </w:t>
      </w:r>
      <w:r w:rsidR="00855551">
        <w:rPr>
          <w:sz w:val="22"/>
          <w:szCs w:val="22"/>
        </w:rPr>
        <w:fldChar w:fldCharType="begin"/>
      </w:r>
      <w:r w:rsidR="00855551">
        <w:rPr>
          <w:sz w:val="22"/>
          <w:szCs w:val="22"/>
        </w:rPr>
        <w:instrText xml:space="preserve"> REF _Ref61721350 \h </w:instrText>
      </w:r>
      <w:r w:rsidR="00855551">
        <w:rPr>
          <w:sz w:val="22"/>
          <w:szCs w:val="22"/>
        </w:rPr>
      </w:r>
      <w:r w:rsidR="00855551">
        <w:rPr>
          <w:sz w:val="22"/>
          <w:szCs w:val="22"/>
        </w:rPr>
        <w:fldChar w:fldCharType="separate"/>
      </w:r>
      <w:r w:rsidR="00855551" w:rsidRPr="00B45BF4">
        <w:rPr>
          <w:sz w:val="22"/>
          <w:szCs w:val="22"/>
        </w:rPr>
        <w:t xml:space="preserve">Figure </w:t>
      </w:r>
      <w:r w:rsidR="00855551">
        <w:rPr>
          <w:noProof/>
          <w:sz w:val="22"/>
          <w:szCs w:val="22"/>
        </w:rPr>
        <w:t>3</w:t>
      </w:r>
      <w:r w:rsidR="00855551">
        <w:rPr>
          <w:sz w:val="22"/>
          <w:szCs w:val="22"/>
        </w:rPr>
        <w:fldChar w:fldCharType="end"/>
      </w:r>
      <w:r w:rsidR="00855551">
        <w:rPr>
          <w:sz w:val="22"/>
          <w:szCs w:val="22"/>
        </w:rPr>
        <w:t>.</w:t>
      </w:r>
      <w:r w:rsidR="00006719">
        <w:rPr>
          <w:sz w:val="22"/>
          <w:szCs w:val="22"/>
        </w:rPr>
        <w:t xml:space="preserve"> </w:t>
      </w:r>
    </w:p>
    <w:p w14:paraId="47139A66" w14:textId="77777777" w:rsidR="00855551" w:rsidRDefault="00855551" w:rsidP="00855551">
      <w:pPr>
        <w:pStyle w:val="ListParagraph"/>
        <w:ind w:leftChars="0" w:left="360" w:firstLine="0"/>
        <w:jc w:val="both"/>
        <w:rPr>
          <w:sz w:val="22"/>
          <w:szCs w:val="22"/>
        </w:rPr>
      </w:pPr>
    </w:p>
    <w:p w14:paraId="1176491E" w14:textId="07F22F84" w:rsidR="008A13B7" w:rsidRDefault="008A13B7" w:rsidP="00006719">
      <w:pPr>
        <w:pStyle w:val="ListParagraph"/>
        <w:ind w:leftChars="0" w:left="360" w:firstLine="0"/>
        <w:jc w:val="both"/>
        <w:rPr>
          <w:sz w:val="22"/>
          <w:szCs w:val="22"/>
        </w:rPr>
      </w:pPr>
      <w:r w:rsidRPr="008A13B7">
        <w:rPr>
          <w:noProof/>
        </w:rPr>
        <w:drawing>
          <wp:inline distT="0" distB="0" distL="0" distR="0" wp14:anchorId="57C6C473" wp14:editId="427F43B0">
            <wp:extent cx="5943600" cy="821055"/>
            <wp:effectExtent l="0" t="0" r="0" b="4445"/>
            <wp:docPr id="17" name="Picture 1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treemap chart&#10;&#10;Description automatically generated"/>
                    <pic:cNvPicPr/>
                  </pic:nvPicPr>
                  <pic:blipFill>
                    <a:blip r:embed="rId10"/>
                    <a:stretch>
                      <a:fillRect/>
                    </a:stretch>
                  </pic:blipFill>
                  <pic:spPr>
                    <a:xfrm>
                      <a:off x="0" y="0"/>
                      <a:ext cx="5943600" cy="821055"/>
                    </a:xfrm>
                    <a:prstGeom prst="rect">
                      <a:avLst/>
                    </a:prstGeom>
                  </pic:spPr>
                </pic:pic>
              </a:graphicData>
            </a:graphic>
          </wp:inline>
        </w:drawing>
      </w:r>
    </w:p>
    <w:p w14:paraId="4EDEC152" w14:textId="77777777" w:rsidR="00006719" w:rsidRDefault="00006719" w:rsidP="00006719">
      <w:pPr>
        <w:pStyle w:val="Caption"/>
        <w:ind w:left="360"/>
        <w:rPr>
          <w:sz w:val="22"/>
          <w:szCs w:val="22"/>
        </w:rPr>
      </w:pPr>
    </w:p>
    <w:p w14:paraId="232229EC" w14:textId="31D1AEE8" w:rsidR="008A13B7" w:rsidRPr="00B45BF4" w:rsidRDefault="008A13B7" w:rsidP="00006719">
      <w:pPr>
        <w:pStyle w:val="Caption"/>
        <w:ind w:left="360"/>
        <w:rPr>
          <w:i/>
          <w:iCs/>
          <w:sz w:val="22"/>
          <w:szCs w:val="22"/>
        </w:rPr>
      </w:pPr>
      <w:bookmarkStart w:id="6" w:name="_Ref61721350"/>
      <w:r w:rsidRPr="00B45BF4">
        <w:rPr>
          <w:sz w:val="22"/>
          <w:szCs w:val="22"/>
        </w:rPr>
        <w:t xml:space="preserve">Figure </w:t>
      </w:r>
      <w:r w:rsidRPr="00B45BF4">
        <w:rPr>
          <w:sz w:val="22"/>
          <w:szCs w:val="22"/>
        </w:rPr>
        <w:fldChar w:fldCharType="begin"/>
      </w:r>
      <w:r w:rsidRPr="00B45BF4">
        <w:rPr>
          <w:sz w:val="22"/>
          <w:szCs w:val="22"/>
        </w:rPr>
        <w:instrText xml:space="preserve"> SEQ Figure \* ARABIC </w:instrText>
      </w:r>
      <w:r w:rsidRPr="00B45BF4">
        <w:rPr>
          <w:sz w:val="22"/>
          <w:szCs w:val="22"/>
        </w:rPr>
        <w:fldChar w:fldCharType="separate"/>
      </w:r>
      <w:r w:rsidR="00D37AD5">
        <w:rPr>
          <w:noProof/>
          <w:sz w:val="22"/>
          <w:szCs w:val="22"/>
        </w:rPr>
        <w:t>3</w:t>
      </w:r>
      <w:r w:rsidRPr="00B45BF4">
        <w:rPr>
          <w:noProof/>
          <w:sz w:val="22"/>
          <w:szCs w:val="22"/>
        </w:rPr>
        <w:fldChar w:fldCharType="end"/>
      </w:r>
      <w:bookmarkEnd w:id="6"/>
      <w:r w:rsidRPr="00B45BF4">
        <w:rPr>
          <w:sz w:val="22"/>
          <w:szCs w:val="22"/>
        </w:rPr>
        <w:t xml:space="preserve">: </w:t>
      </w:r>
      <w:r>
        <w:rPr>
          <w:sz w:val="22"/>
          <w:szCs w:val="22"/>
        </w:rPr>
        <w:t xml:space="preserve">Type 1: </w:t>
      </w:r>
      <w:r w:rsidRPr="00B45BF4">
        <w:rPr>
          <w:sz w:val="22"/>
          <w:szCs w:val="22"/>
        </w:rPr>
        <w:t xml:space="preserve">Slot group with X symbols </w:t>
      </w:r>
      <w:r>
        <w:rPr>
          <w:sz w:val="22"/>
          <w:szCs w:val="22"/>
        </w:rPr>
        <w:t>in the middle</w:t>
      </w:r>
      <w:r w:rsidRPr="00B45BF4">
        <w:rPr>
          <w:sz w:val="22"/>
          <w:szCs w:val="22"/>
        </w:rPr>
        <w:t xml:space="preserve"> of the slot group</w:t>
      </w:r>
    </w:p>
    <w:p w14:paraId="3F1D20CA" w14:textId="77777777" w:rsidR="008A13B7" w:rsidRPr="008A13B7" w:rsidRDefault="008A13B7" w:rsidP="00006719">
      <w:pPr>
        <w:pStyle w:val="ListParagraph"/>
        <w:ind w:leftChars="0" w:left="360" w:firstLine="0"/>
        <w:jc w:val="both"/>
        <w:rPr>
          <w:sz w:val="22"/>
          <w:szCs w:val="22"/>
        </w:rPr>
      </w:pPr>
    </w:p>
    <w:p w14:paraId="07140313" w14:textId="4CDD1A22" w:rsidR="00123C79" w:rsidRDefault="00123C79" w:rsidP="00006719">
      <w:pPr>
        <w:pStyle w:val="ListParagraph"/>
        <w:numPr>
          <w:ilvl w:val="0"/>
          <w:numId w:val="31"/>
        </w:numPr>
        <w:ind w:leftChars="0"/>
        <w:jc w:val="both"/>
        <w:rPr>
          <w:sz w:val="22"/>
          <w:szCs w:val="22"/>
        </w:rPr>
      </w:pPr>
      <w:r w:rsidRPr="00075735">
        <w:rPr>
          <w:b/>
          <w:bCs/>
          <w:sz w:val="22"/>
          <w:szCs w:val="22"/>
        </w:rPr>
        <w:t>Type 3:</w:t>
      </w:r>
      <w:r w:rsidRPr="008A13B7">
        <w:rPr>
          <w:sz w:val="22"/>
          <w:szCs w:val="22"/>
        </w:rPr>
        <w:t xml:space="preserve"> </w:t>
      </w:r>
      <w:r w:rsidR="00855551">
        <w:rPr>
          <w:sz w:val="22"/>
          <w:szCs w:val="22"/>
        </w:rPr>
        <w:t>The</w:t>
      </w:r>
      <w:r w:rsidRPr="008A13B7">
        <w:rPr>
          <w:sz w:val="22"/>
          <w:szCs w:val="22"/>
        </w:rPr>
        <w:t xml:space="preserve"> PDCCH monitoring occasions can be in any OFDM symbol of a slot-group with a minimum time separation between 2 consecutive transmissions of the PDCCH</w:t>
      </w:r>
      <w:r w:rsidR="00855551">
        <w:rPr>
          <w:sz w:val="22"/>
          <w:szCs w:val="22"/>
        </w:rPr>
        <w:t xml:space="preserve"> as illustrated in </w:t>
      </w:r>
      <w:r w:rsidR="00855551">
        <w:rPr>
          <w:sz w:val="22"/>
          <w:szCs w:val="22"/>
        </w:rPr>
        <w:fldChar w:fldCharType="begin"/>
      </w:r>
      <w:r w:rsidR="00855551">
        <w:rPr>
          <w:sz w:val="22"/>
          <w:szCs w:val="22"/>
        </w:rPr>
        <w:instrText xml:space="preserve"> REF _Ref53757813 \h </w:instrText>
      </w:r>
      <w:r w:rsidR="00855551">
        <w:rPr>
          <w:sz w:val="22"/>
          <w:szCs w:val="22"/>
        </w:rPr>
      </w:r>
      <w:r w:rsidR="00855551">
        <w:rPr>
          <w:sz w:val="22"/>
          <w:szCs w:val="22"/>
        </w:rPr>
        <w:fldChar w:fldCharType="separate"/>
      </w:r>
      <w:r w:rsidR="00855551" w:rsidRPr="00B45BF4">
        <w:rPr>
          <w:sz w:val="22"/>
          <w:szCs w:val="22"/>
        </w:rPr>
        <w:t xml:space="preserve">Figure </w:t>
      </w:r>
      <w:r w:rsidR="00855551">
        <w:rPr>
          <w:noProof/>
          <w:sz w:val="22"/>
          <w:szCs w:val="22"/>
        </w:rPr>
        <w:t>4</w:t>
      </w:r>
      <w:r w:rsidR="00855551">
        <w:rPr>
          <w:sz w:val="22"/>
          <w:szCs w:val="22"/>
        </w:rPr>
        <w:fldChar w:fldCharType="end"/>
      </w:r>
      <w:r w:rsidRPr="008A13B7">
        <w:rPr>
          <w:sz w:val="22"/>
          <w:szCs w:val="22"/>
        </w:rPr>
        <w:t xml:space="preserve">. This example mirrors FG 3-5b in Rel-15 in which PDCCH monitoring </w:t>
      </w:r>
      <w:r w:rsidR="00855551">
        <w:rPr>
          <w:sz w:val="22"/>
          <w:szCs w:val="22"/>
        </w:rPr>
        <w:t>which supports span and gap PDCCH monitoring within a slot</w:t>
      </w:r>
      <w:r w:rsidRPr="008A13B7">
        <w:rPr>
          <w:sz w:val="22"/>
          <w:szCs w:val="22"/>
        </w:rPr>
        <w:t xml:space="preserve">. </w:t>
      </w:r>
      <w:r w:rsidR="00855551" w:rsidRPr="00855551">
        <w:rPr>
          <w:sz w:val="22"/>
          <w:szCs w:val="22"/>
        </w:rPr>
        <w:t>We define X as the number of OFDM symbols within which the monitoring occasion occurs, Y as the  minimum number of OFDM symbols between the start of different PDCCH MOs, and Z as the slot group size.</w:t>
      </w:r>
      <w:r w:rsidR="00855551">
        <w:rPr>
          <w:sz w:val="22"/>
          <w:szCs w:val="22"/>
        </w:rPr>
        <w:t xml:space="preserve"> </w:t>
      </w:r>
      <w:r w:rsidRPr="008A13B7">
        <w:rPr>
          <w:sz w:val="22"/>
          <w:szCs w:val="22"/>
        </w:rPr>
        <w:t xml:space="preserve">In this </w:t>
      </w:r>
      <w:r w:rsidR="00855551">
        <w:rPr>
          <w:sz w:val="22"/>
          <w:szCs w:val="22"/>
        </w:rPr>
        <w:t>Type</w:t>
      </w:r>
      <w:r w:rsidRPr="008A13B7">
        <w:rPr>
          <w:sz w:val="22"/>
          <w:szCs w:val="22"/>
        </w:rPr>
        <w:t>, unlike FG3-5b where (X, Y) is one of a set of (2,2), (4,3) or (7,3), X, Y and Z may be  SCS and slot group size dependent and may be d</w:t>
      </w:r>
      <w:r w:rsidR="008A13B7" w:rsidRPr="008A13B7">
        <w:rPr>
          <w:sz w:val="22"/>
          <w:szCs w:val="22"/>
        </w:rPr>
        <w:t>iscussed later in the specification process</w:t>
      </w:r>
      <w:r w:rsidR="00855551">
        <w:rPr>
          <w:sz w:val="22"/>
          <w:szCs w:val="22"/>
        </w:rPr>
        <w:t>.</w:t>
      </w:r>
    </w:p>
    <w:p w14:paraId="594063F7" w14:textId="77777777" w:rsidR="00855551" w:rsidRPr="00855551" w:rsidRDefault="00855551" w:rsidP="00855551">
      <w:pPr>
        <w:jc w:val="both"/>
        <w:rPr>
          <w:sz w:val="22"/>
          <w:szCs w:val="22"/>
        </w:rPr>
      </w:pPr>
    </w:p>
    <w:p w14:paraId="7A079357" w14:textId="77777777" w:rsidR="008A13B7" w:rsidRPr="008A13B7" w:rsidRDefault="008A13B7" w:rsidP="00006719">
      <w:pPr>
        <w:pStyle w:val="ListParagraph"/>
        <w:ind w:leftChars="0" w:left="360" w:firstLine="0"/>
        <w:jc w:val="both"/>
        <w:rPr>
          <w:i/>
          <w:iCs/>
          <w:sz w:val="22"/>
          <w:szCs w:val="22"/>
        </w:rPr>
      </w:pPr>
      <w:r w:rsidRPr="00347C0B">
        <w:rPr>
          <w:noProof/>
        </w:rPr>
        <w:drawing>
          <wp:inline distT="0" distB="0" distL="0" distR="0" wp14:anchorId="0B375240" wp14:editId="645B07D6">
            <wp:extent cx="5943600" cy="1157605"/>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treemap chart&#10;&#10;Description automatically generated"/>
                    <pic:cNvPicPr/>
                  </pic:nvPicPr>
                  <pic:blipFill>
                    <a:blip r:embed="rId11"/>
                    <a:stretch>
                      <a:fillRect/>
                    </a:stretch>
                  </pic:blipFill>
                  <pic:spPr>
                    <a:xfrm>
                      <a:off x="0" y="0"/>
                      <a:ext cx="5943600" cy="1157605"/>
                    </a:xfrm>
                    <a:prstGeom prst="rect">
                      <a:avLst/>
                    </a:prstGeom>
                  </pic:spPr>
                </pic:pic>
              </a:graphicData>
            </a:graphic>
          </wp:inline>
        </w:drawing>
      </w:r>
    </w:p>
    <w:p w14:paraId="0FAC790E" w14:textId="77777777" w:rsidR="008A13B7" w:rsidRPr="008A13B7" w:rsidRDefault="008A13B7" w:rsidP="00006719">
      <w:pPr>
        <w:pStyle w:val="ListParagraph"/>
        <w:ind w:leftChars="0" w:left="360" w:firstLine="0"/>
        <w:jc w:val="both"/>
        <w:rPr>
          <w:b/>
          <w:bCs/>
          <w:i/>
          <w:iCs/>
          <w:sz w:val="22"/>
          <w:szCs w:val="22"/>
          <w:highlight w:val="yellow"/>
        </w:rPr>
      </w:pPr>
    </w:p>
    <w:p w14:paraId="66ACB8B8" w14:textId="69A24E18" w:rsidR="008A13B7" w:rsidRPr="00B45BF4" w:rsidRDefault="008A13B7" w:rsidP="00006719">
      <w:pPr>
        <w:pStyle w:val="Caption"/>
        <w:ind w:left="360"/>
        <w:rPr>
          <w:i/>
          <w:iCs/>
          <w:sz w:val="22"/>
          <w:szCs w:val="22"/>
        </w:rPr>
      </w:pPr>
      <w:bookmarkStart w:id="7" w:name="_Ref53757813"/>
      <w:r w:rsidRPr="00B45BF4">
        <w:rPr>
          <w:sz w:val="22"/>
          <w:szCs w:val="22"/>
        </w:rPr>
        <w:t xml:space="preserve">Figure </w:t>
      </w:r>
      <w:r w:rsidRPr="00B45BF4">
        <w:rPr>
          <w:sz w:val="22"/>
          <w:szCs w:val="22"/>
        </w:rPr>
        <w:fldChar w:fldCharType="begin"/>
      </w:r>
      <w:r w:rsidRPr="00B45BF4">
        <w:rPr>
          <w:sz w:val="22"/>
          <w:szCs w:val="22"/>
        </w:rPr>
        <w:instrText xml:space="preserve"> SEQ Figure \* ARABIC </w:instrText>
      </w:r>
      <w:r w:rsidRPr="00B45BF4">
        <w:rPr>
          <w:sz w:val="22"/>
          <w:szCs w:val="22"/>
        </w:rPr>
        <w:fldChar w:fldCharType="separate"/>
      </w:r>
      <w:r w:rsidR="00D37AD5">
        <w:rPr>
          <w:noProof/>
          <w:sz w:val="22"/>
          <w:szCs w:val="22"/>
        </w:rPr>
        <w:t>4</w:t>
      </w:r>
      <w:r w:rsidRPr="00B45BF4">
        <w:rPr>
          <w:noProof/>
          <w:sz w:val="22"/>
          <w:szCs w:val="22"/>
        </w:rPr>
        <w:fldChar w:fldCharType="end"/>
      </w:r>
      <w:bookmarkEnd w:id="7"/>
      <w:r w:rsidRPr="00B45BF4">
        <w:rPr>
          <w:sz w:val="22"/>
          <w:szCs w:val="22"/>
        </w:rPr>
        <w:t xml:space="preserve">: </w:t>
      </w:r>
      <w:r>
        <w:rPr>
          <w:sz w:val="22"/>
          <w:szCs w:val="22"/>
        </w:rPr>
        <w:t xml:space="preserve">Type 3: </w:t>
      </w:r>
      <w:r w:rsidRPr="00B45BF4">
        <w:rPr>
          <w:sz w:val="22"/>
          <w:szCs w:val="22"/>
        </w:rPr>
        <w:t>Slot group with X symbols at the beginning of the slot group</w:t>
      </w:r>
    </w:p>
    <w:p w14:paraId="0D44E942" w14:textId="77777777" w:rsidR="00123C79" w:rsidRDefault="00123C79" w:rsidP="00006719">
      <w:pPr>
        <w:jc w:val="both"/>
        <w:rPr>
          <w:sz w:val="22"/>
          <w:szCs w:val="22"/>
        </w:rPr>
      </w:pPr>
    </w:p>
    <w:p w14:paraId="2662E519" w14:textId="3AFBC8B9" w:rsidR="00075735" w:rsidRDefault="00075735" w:rsidP="00006719">
      <w:pPr>
        <w:jc w:val="both"/>
        <w:rPr>
          <w:sz w:val="22"/>
          <w:szCs w:val="22"/>
        </w:rPr>
      </w:pPr>
    </w:p>
    <w:p w14:paraId="29522975" w14:textId="5A0F5BEE" w:rsidR="00075735" w:rsidRDefault="00075735" w:rsidP="00006719">
      <w:pPr>
        <w:tabs>
          <w:tab w:val="left" w:pos="640"/>
        </w:tabs>
        <w:jc w:val="both"/>
        <w:rPr>
          <w:b/>
          <w:bCs/>
          <w:sz w:val="22"/>
          <w:szCs w:val="22"/>
        </w:rPr>
      </w:pPr>
      <w:r>
        <w:rPr>
          <w:sz w:val="22"/>
          <w:szCs w:val="22"/>
        </w:rPr>
        <w:lastRenderedPageBreak/>
        <w:t>In summary</w:t>
      </w:r>
      <w:r w:rsidRPr="008A13B7">
        <w:rPr>
          <w:sz w:val="22"/>
          <w:szCs w:val="22"/>
        </w:rPr>
        <w:t xml:space="preserve">, </w:t>
      </w:r>
      <w:r w:rsidRPr="00006719">
        <w:rPr>
          <w:sz w:val="22"/>
          <w:szCs w:val="22"/>
        </w:rPr>
        <w:t xml:space="preserve">RAN1 should support multi-slot monitoring and determine the BD/CCE limits over a group of slots (defined as a slot group/nominal monitoring unit). </w:t>
      </w:r>
      <w:r w:rsidRPr="00855551">
        <w:rPr>
          <w:b/>
          <w:bCs/>
          <w:sz w:val="22"/>
          <w:szCs w:val="22"/>
        </w:rPr>
        <w:t>The slot-group size can be defined based on a reference SCS and the PDCCH monitoring occasions should be defined per slot group with</w:t>
      </w:r>
      <w:r w:rsidR="00855551" w:rsidRPr="00855551">
        <w:rPr>
          <w:b/>
          <w:bCs/>
          <w:sz w:val="22"/>
          <w:szCs w:val="22"/>
        </w:rPr>
        <w:t xml:space="preserve"> UE support for </w:t>
      </w:r>
      <w:r w:rsidRPr="00855551">
        <w:rPr>
          <w:b/>
          <w:bCs/>
          <w:sz w:val="22"/>
          <w:szCs w:val="22"/>
        </w:rPr>
        <w:t xml:space="preserve"> different </w:t>
      </w:r>
      <w:r w:rsidR="00006719" w:rsidRPr="00855551">
        <w:rPr>
          <w:b/>
          <w:bCs/>
          <w:sz w:val="22"/>
          <w:szCs w:val="22"/>
        </w:rPr>
        <w:t>Types that can be identified by the UE as a capability.</w:t>
      </w:r>
    </w:p>
    <w:p w14:paraId="1A46A5BC" w14:textId="77777777" w:rsidR="00855551" w:rsidRDefault="00855551" w:rsidP="00006719">
      <w:pPr>
        <w:tabs>
          <w:tab w:val="left" w:pos="640"/>
        </w:tabs>
        <w:jc w:val="both"/>
        <w:rPr>
          <w:b/>
          <w:bCs/>
          <w:sz w:val="22"/>
          <w:szCs w:val="22"/>
        </w:rPr>
      </w:pPr>
    </w:p>
    <w:p w14:paraId="5C29DDC2" w14:textId="77777777" w:rsidR="00075735" w:rsidRPr="00960388" w:rsidRDefault="00075735" w:rsidP="00075735">
      <w:pPr>
        <w:tabs>
          <w:tab w:val="left" w:pos="640"/>
        </w:tabs>
        <w:rPr>
          <w:sz w:val="22"/>
          <w:szCs w:val="22"/>
        </w:rPr>
      </w:pPr>
    </w:p>
    <w:p w14:paraId="3FA8C2FB" w14:textId="169E244E" w:rsidR="008A13B7" w:rsidRPr="00006719" w:rsidRDefault="00006719" w:rsidP="00B648D1">
      <w:pPr>
        <w:jc w:val="both"/>
        <w:rPr>
          <w:i/>
          <w:iCs/>
          <w:sz w:val="22"/>
          <w:szCs w:val="22"/>
        </w:rPr>
      </w:pPr>
      <w:r w:rsidRPr="00006719">
        <w:rPr>
          <w:b/>
          <w:bCs/>
          <w:i/>
          <w:iCs/>
          <w:sz w:val="22"/>
          <w:szCs w:val="22"/>
        </w:rPr>
        <w:t xml:space="preserve">Proposal </w:t>
      </w:r>
      <w:r>
        <w:rPr>
          <w:b/>
          <w:bCs/>
          <w:i/>
          <w:iCs/>
          <w:sz w:val="22"/>
          <w:szCs w:val="22"/>
        </w:rPr>
        <w:t>1</w:t>
      </w:r>
      <w:r w:rsidR="008A13B7" w:rsidRPr="00006719">
        <w:rPr>
          <w:b/>
          <w:bCs/>
          <w:i/>
          <w:iCs/>
          <w:sz w:val="22"/>
          <w:szCs w:val="22"/>
        </w:rPr>
        <w:t>:</w:t>
      </w:r>
      <w:r w:rsidR="008A13B7" w:rsidRPr="00006719">
        <w:rPr>
          <w:i/>
          <w:iCs/>
          <w:sz w:val="22"/>
          <w:szCs w:val="22"/>
        </w:rPr>
        <w:t xml:space="preserve"> slot-based and  </w:t>
      </w:r>
      <w:r w:rsidR="00EB5BA6" w:rsidRPr="00006719">
        <w:rPr>
          <w:i/>
          <w:iCs/>
          <w:sz w:val="22"/>
          <w:szCs w:val="22"/>
        </w:rPr>
        <w:t>span-</w:t>
      </w:r>
      <w:r w:rsidR="008A13B7" w:rsidRPr="00006719">
        <w:rPr>
          <w:i/>
          <w:iCs/>
          <w:sz w:val="22"/>
          <w:szCs w:val="22"/>
        </w:rPr>
        <w:t xml:space="preserve">based PDCCH monitoring should not be applicable to Rel-17 UEs. </w:t>
      </w:r>
    </w:p>
    <w:p w14:paraId="449C1880" w14:textId="484CEFAC" w:rsidR="00123C79" w:rsidRDefault="00123C79" w:rsidP="00B648D1">
      <w:pPr>
        <w:jc w:val="both"/>
        <w:rPr>
          <w:sz w:val="22"/>
          <w:szCs w:val="22"/>
        </w:rPr>
      </w:pPr>
    </w:p>
    <w:p w14:paraId="5B963311" w14:textId="6FE9ECCD" w:rsidR="00960388" w:rsidRPr="00960388" w:rsidRDefault="00006719" w:rsidP="00B648D1">
      <w:pPr>
        <w:tabs>
          <w:tab w:val="left" w:pos="640"/>
        </w:tabs>
        <w:jc w:val="both"/>
        <w:rPr>
          <w:i/>
          <w:iCs/>
          <w:sz w:val="22"/>
          <w:szCs w:val="22"/>
        </w:rPr>
      </w:pPr>
      <w:r w:rsidRPr="00006719">
        <w:rPr>
          <w:b/>
          <w:bCs/>
          <w:i/>
          <w:iCs/>
          <w:sz w:val="22"/>
          <w:szCs w:val="22"/>
        </w:rPr>
        <w:t xml:space="preserve">Proposal </w:t>
      </w:r>
      <w:r>
        <w:rPr>
          <w:b/>
          <w:bCs/>
          <w:i/>
          <w:iCs/>
          <w:sz w:val="22"/>
          <w:szCs w:val="22"/>
        </w:rPr>
        <w:t>2</w:t>
      </w:r>
      <w:r w:rsidR="00960388" w:rsidRPr="00006719">
        <w:rPr>
          <w:b/>
          <w:bCs/>
          <w:i/>
          <w:iCs/>
          <w:sz w:val="22"/>
          <w:szCs w:val="22"/>
        </w:rPr>
        <w:t>:</w:t>
      </w:r>
      <w:r w:rsidR="00960388" w:rsidRPr="00960388">
        <w:rPr>
          <w:i/>
          <w:iCs/>
          <w:sz w:val="22"/>
          <w:szCs w:val="22"/>
        </w:rPr>
        <w:t xml:space="preserve"> RAN1 should support multi-slot monitoring and determine the BD/CCE limits over a group of slots (defined as a slot group/nominal monitoring unit). The slot-group size can be defined based on a reference SCS. </w:t>
      </w:r>
    </w:p>
    <w:p w14:paraId="2C31EBAB" w14:textId="77777777" w:rsidR="00960388" w:rsidRPr="00960388" w:rsidRDefault="00960388" w:rsidP="00B648D1">
      <w:pPr>
        <w:tabs>
          <w:tab w:val="left" w:pos="640"/>
        </w:tabs>
        <w:jc w:val="both"/>
        <w:rPr>
          <w:i/>
          <w:iCs/>
          <w:sz w:val="22"/>
          <w:szCs w:val="22"/>
        </w:rPr>
      </w:pPr>
    </w:p>
    <w:p w14:paraId="122AC675" w14:textId="7AECD13E" w:rsidR="00960388" w:rsidRPr="00960388" w:rsidRDefault="00006719" w:rsidP="00B648D1">
      <w:pPr>
        <w:tabs>
          <w:tab w:val="left" w:pos="640"/>
        </w:tabs>
        <w:jc w:val="both"/>
        <w:rPr>
          <w:i/>
          <w:iCs/>
          <w:sz w:val="22"/>
          <w:szCs w:val="22"/>
        </w:rPr>
      </w:pPr>
      <w:r w:rsidRPr="00006719">
        <w:rPr>
          <w:b/>
          <w:bCs/>
          <w:i/>
          <w:iCs/>
          <w:sz w:val="22"/>
          <w:szCs w:val="22"/>
        </w:rPr>
        <w:t xml:space="preserve">Proposal </w:t>
      </w:r>
      <w:r>
        <w:rPr>
          <w:b/>
          <w:bCs/>
          <w:i/>
          <w:iCs/>
          <w:sz w:val="22"/>
          <w:szCs w:val="22"/>
        </w:rPr>
        <w:t>3</w:t>
      </w:r>
      <w:r w:rsidR="00960388" w:rsidRPr="00960388">
        <w:rPr>
          <w:i/>
          <w:iCs/>
          <w:sz w:val="22"/>
          <w:szCs w:val="22"/>
        </w:rPr>
        <w:t>: RAN1 should define</w:t>
      </w:r>
      <w:r w:rsidR="008A13B7">
        <w:rPr>
          <w:i/>
          <w:iCs/>
          <w:sz w:val="22"/>
          <w:szCs w:val="22"/>
        </w:rPr>
        <w:t xml:space="preserve"> </w:t>
      </w:r>
      <w:r w:rsidR="00960388" w:rsidRPr="00960388">
        <w:rPr>
          <w:i/>
          <w:iCs/>
          <w:sz w:val="22"/>
          <w:szCs w:val="22"/>
        </w:rPr>
        <w:t>the PDCCH Monitoring Occasions per slot group.</w:t>
      </w:r>
      <w:r>
        <w:rPr>
          <w:i/>
          <w:iCs/>
          <w:sz w:val="22"/>
          <w:szCs w:val="22"/>
        </w:rPr>
        <w:t xml:space="preserve"> The MO could be defined as follows:</w:t>
      </w:r>
    </w:p>
    <w:p w14:paraId="0E0C26FC" w14:textId="77777777" w:rsidR="00960388" w:rsidRPr="00006719" w:rsidRDefault="00960388" w:rsidP="00B648D1">
      <w:pPr>
        <w:pStyle w:val="ListParagraph"/>
        <w:numPr>
          <w:ilvl w:val="0"/>
          <w:numId w:val="31"/>
        </w:numPr>
        <w:ind w:leftChars="0"/>
        <w:jc w:val="both"/>
        <w:rPr>
          <w:i/>
          <w:iCs/>
          <w:sz w:val="22"/>
          <w:szCs w:val="22"/>
        </w:rPr>
      </w:pPr>
      <w:r w:rsidRPr="00006719">
        <w:rPr>
          <w:i/>
          <w:iCs/>
          <w:sz w:val="22"/>
          <w:szCs w:val="22"/>
        </w:rPr>
        <w:t>Type 1: For all the slots  in the slot group, PDCCH monitoring occurs within the first X symbols of the multiple slots</w:t>
      </w:r>
    </w:p>
    <w:p w14:paraId="03405908" w14:textId="77777777" w:rsidR="00960388" w:rsidRPr="00006719" w:rsidRDefault="00960388" w:rsidP="00B648D1">
      <w:pPr>
        <w:pStyle w:val="ListParagraph"/>
        <w:numPr>
          <w:ilvl w:val="0"/>
          <w:numId w:val="31"/>
        </w:numPr>
        <w:ind w:leftChars="0"/>
        <w:jc w:val="both"/>
        <w:rPr>
          <w:i/>
          <w:iCs/>
          <w:sz w:val="22"/>
          <w:szCs w:val="22"/>
        </w:rPr>
      </w:pPr>
      <w:r w:rsidRPr="00006719">
        <w:rPr>
          <w:i/>
          <w:iCs/>
          <w:sz w:val="22"/>
          <w:szCs w:val="22"/>
        </w:rPr>
        <w:t xml:space="preserve">Type 2: For all the slots in the slot group, PDCCH monitoring occurs on any span of X consecutive symbols within the multiple slots. </w:t>
      </w:r>
    </w:p>
    <w:p w14:paraId="56A44652" w14:textId="77777777" w:rsidR="00960388" w:rsidRPr="00006719" w:rsidRDefault="00960388" w:rsidP="00B648D1">
      <w:pPr>
        <w:pStyle w:val="ListParagraph"/>
        <w:numPr>
          <w:ilvl w:val="0"/>
          <w:numId w:val="31"/>
        </w:numPr>
        <w:ind w:leftChars="0"/>
        <w:jc w:val="both"/>
        <w:rPr>
          <w:i/>
          <w:iCs/>
          <w:sz w:val="22"/>
          <w:szCs w:val="22"/>
        </w:rPr>
      </w:pPr>
      <w:r w:rsidRPr="00006719">
        <w:rPr>
          <w:i/>
          <w:iCs/>
          <w:sz w:val="22"/>
          <w:szCs w:val="22"/>
        </w:rPr>
        <w:t xml:space="preserve">Type 3: All PDCCH monitoring occasions can be in any OFDM symbol of a slot-group with a minimum time separation between 2 consecutive transmissions of the PDCCH. </w:t>
      </w:r>
    </w:p>
    <w:p w14:paraId="680ED25F" w14:textId="77777777" w:rsidR="00006719" w:rsidRDefault="00960388" w:rsidP="00B648D1">
      <w:pPr>
        <w:pStyle w:val="ListParagraph"/>
        <w:numPr>
          <w:ilvl w:val="1"/>
          <w:numId w:val="31"/>
        </w:numPr>
        <w:ind w:leftChars="0"/>
        <w:jc w:val="both"/>
        <w:rPr>
          <w:i/>
          <w:iCs/>
          <w:sz w:val="22"/>
          <w:szCs w:val="22"/>
        </w:rPr>
      </w:pPr>
      <w:r w:rsidRPr="00006719">
        <w:rPr>
          <w:i/>
          <w:iCs/>
          <w:sz w:val="22"/>
          <w:szCs w:val="22"/>
        </w:rPr>
        <w:t xml:space="preserve">X : Number of OFDM symbols within which the monitoring occasion occurs, </w:t>
      </w:r>
    </w:p>
    <w:p w14:paraId="5B1D802D" w14:textId="2C90EDEB" w:rsidR="00006719" w:rsidRDefault="00960388" w:rsidP="00B648D1">
      <w:pPr>
        <w:pStyle w:val="ListParagraph"/>
        <w:numPr>
          <w:ilvl w:val="1"/>
          <w:numId w:val="31"/>
        </w:numPr>
        <w:ind w:leftChars="0"/>
        <w:jc w:val="both"/>
        <w:rPr>
          <w:i/>
          <w:iCs/>
          <w:sz w:val="22"/>
          <w:szCs w:val="22"/>
        </w:rPr>
      </w:pPr>
      <w:r w:rsidRPr="00006719">
        <w:rPr>
          <w:i/>
          <w:iCs/>
          <w:sz w:val="22"/>
          <w:szCs w:val="22"/>
        </w:rPr>
        <w:t>Y: minimum number of OFDM symbols between the start of different PDCCH M</w:t>
      </w:r>
      <w:r w:rsidR="00006719" w:rsidRPr="00006719">
        <w:rPr>
          <w:i/>
          <w:iCs/>
          <w:sz w:val="22"/>
          <w:szCs w:val="22"/>
        </w:rPr>
        <w:t>o</w:t>
      </w:r>
      <w:r w:rsidRPr="00006719">
        <w:rPr>
          <w:i/>
          <w:iCs/>
          <w:sz w:val="22"/>
          <w:szCs w:val="22"/>
        </w:rPr>
        <w:t>s</w:t>
      </w:r>
    </w:p>
    <w:p w14:paraId="772A9D64" w14:textId="4F042B69" w:rsidR="00960388" w:rsidRDefault="00960388" w:rsidP="00B648D1">
      <w:pPr>
        <w:pStyle w:val="ListParagraph"/>
        <w:numPr>
          <w:ilvl w:val="1"/>
          <w:numId w:val="31"/>
        </w:numPr>
        <w:ind w:leftChars="0"/>
        <w:jc w:val="both"/>
        <w:rPr>
          <w:i/>
          <w:iCs/>
          <w:sz w:val="22"/>
          <w:szCs w:val="22"/>
        </w:rPr>
      </w:pPr>
      <w:r w:rsidRPr="00006719">
        <w:rPr>
          <w:i/>
          <w:iCs/>
          <w:sz w:val="22"/>
          <w:szCs w:val="22"/>
        </w:rPr>
        <w:t>Z: Slot group size</w:t>
      </w:r>
    </w:p>
    <w:p w14:paraId="6E022938" w14:textId="77777777" w:rsidR="00006719" w:rsidRPr="00006719" w:rsidRDefault="00006719" w:rsidP="00B648D1">
      <w:pPr>
        <w:jc w:val="both"/>
        <w:rPr>
          <w:i/>
          <w:iCs/>
          <w:sz w:val="22"/>
          <w:szCs w:val="22"/>
        </w:rPr>
      </w:pPr>
    </w:p>
    <w:p w14:paraId="38E501DC" w14:textId="6CE1D140" w:rsidR="00960388" w:rsidRPr="00960388" w:rsidRDefault="00006719" w:rsidP="00B648D1">
      <w:pPr>
        <w:jc w:val="both"/>
        <w:rPr>
          <w:i/>
          <w:iCs/>
          <w:sz w:val="22"/>
          <w:szCs w:val="22"/>
        </w:rPr>
      </w:pPr>
      <w:r w:rsidRPr="00006719">
        <w:rPr>
          <w:b/>
          <w:bCs/>
          <w:i/>
          <w:iCs/>
          <w:sz w:val="22"/>
          <w:szCs w:val="22"/>
        </w:rPr>
        <w:t>Proposal 4</w:t>
      </w:r>
      <w:r w:rsidR="00960388" w:rsidRPr="00006719">
        <w:rPr>
          <w:b/>
          <w:bCs/>
          <w:i/>
          <w:iCs/>
          <w:sz w:val="22"/>
          <w:szCs w:val="22"/>
        </w:rPr>
        <w:t>:</w:t>
      </w:r>
      <w:r w:rsidR="00960388" w:rsidRPr="00960388">
        <w:rPr>
          <w:i/>
          <w:iCs/>
          <w:sz w:val="22"/>
          <w:szCs w:val="22"/>
        </w:rPr>
        <w:t xml:space="preserve"> Overbooking and dropping are performed per slot group.</w:t>
      </w:r>
    </w:p>
    <w:p w14:paraId="0F5C1B76" w14:textId="77777777" w:rsidR="00960388" w:rsidRPr="00B45BF4" w:rsidRDefault="00960388" w:rsidP="00C83BF6">
      <w:pPr>
        <w:jc w:val="both"/>
        <w:rPr>
          <w:i/>
          <w:iCs/>
          <w:sz w:val="22"/>
          <w:szCs w:val="22"/>
        </w:rPr>
      </w:pP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3DDD1FCD" w14:textId="77777777" w:rsidR="00006719" w:rsidRPr="00006719" w:rsidRDefault="00006719" w:rsidP="00B648D1">
      <w:pPr>
        <w:jc w:val="both"/>
        <w:rPr>
          <w:i/>
          <w:iCs/>
          <w:sz w:val="22"/>
          <w:szCs w:val="22"/>
        </w:rPr>
      </w:pPr>
      <w:r w:rsidRPr="00006719">
        <w:rPr>
          <w:b/>
          <w:bCs/>
          <w:i/>
          <w:iCs/>
          <w:sz w:val="22"/>
          <w:szCs w:val="22"/>
        </w:rPr>
        <w:t xml:space="preserve">Proposal </w:t>
      </w:r>
      <w:r>
        <w:rPr>
          <w:b/>
          <w:bCs/>
          <w:i/>
          <w:iCs/>
          <w:sz w:val="22"/>
          <w:szCs w:val="22"/>
        </w:rPr>
        <w:t>1</w:t>
      </w:r>
      <w:r w:rsidRPr="00006719">
        <w:rPr>
          <w:b/>
          <w:bCs/>
          <w:i/>
          <w:iCs/>
          <w:sz w:val="22"/>
          <w:szCs w:val="22"/>
        </w:rPr>
        <w:t>:</w:t>
      </w:r>
      <w:r w:rsidRPr="00006719">
        <w:rPr>
          <w:i/>
          <w:iCs/>
          <w:sz w:val="22"/>
          <w:szCs w:val="22"/>
        </w:rPr>
        <w:t xml:space="preserve"> slot-based and  span-based PDCCH monitoring should not be applicable to Rel-17 UEs. </w:t>
      </w:r>
    </w:p>
    <w:p w14:paraId="6719BF0E" w14:textId="77777777" w:rsidR="00006719" w:rsidRDefault="00006719" w:rsidP="00B648D1">
      <w:pPr>
        <w:jc w:val="both"/>
        <w:rPr>
          <w:sz w:val="22"/>
          <w:szCs w:val="22"/>
        </w:rPr>
      </w:pPr>
    </w:p>
    <w:p w14:paraId="61C37624" w14:textId="77777777" w:rsidR="00006719" w:rsidRPr="00960388" w:rsidRDefault="00006719" w:rsidP="00B648D1">
      <w:pPr>
        <w:tabs>
          <w:tab w:val="left" w:pos="640"/>
        </w:tabs>
        <w:jc w:val="both"/>
        <w:rPr>
          <w:i/>
          <w:iCs/>
          <w:sz w:val="22"/>
          <w:szCs w:val="22"/>
        </w:rPr>
      </w:pPr>
      <w:r w:rsidRPr="00006719">
        <w:rPr>
          <w:b/>
          <w:bCs/>
          <w:i/>
          <w:iCs/>
          <w:sz w:val="22"/>
          <w:szCs w:val="22"/>
        </w:rPr>
        <w:t xml:space="preserve">Proposal </w:t>
      </w:r>
      <w:r>
        <w:rPr>
          <w:b/>
          <w:bCs/>
          <w:i/>
          <w:iCs/>
          <w:sz w:val="22"/>
          <w:szCs w:val="22"/>
        </w:rPr>
        <w:t>2</w:t>
      </w:r>
      <w:r w:rsidRPr="00006719">
        <w:rPr>
          <w:b/>
          <w:bCs/>
          <w:i/>
          <w:iCs/>
          <w:sz w:val="22"/>
          <w:szCs w:val="22"/>
        </w:rPr>
        <w:t>:</w:t>
      </w:r>
      <w:r w:rsidRPr="00960388">
        <w:rPr>
          <w:i/>
          <w:iCs/>
          <w:sz w:val="22"/>
          <w:szCs w:val="22"/>
        </w:rPr>
        <w:t xml:space="preserve"> RAN1 should support multi-slot monitoring and determine the BD/CCE limits over a group of slots (defined as a slot group/nominal monitoring unit). The slot-group size can be defined based on a reference SCS. </w:t>
      </w:r>
    </w:p>
    <w:p w14:paraId="22983F29" w14:textId="77777777" w:rsidR="00006719" w:rsidRPr="00960388" w:rsidRDefault="00006719" w:rsidP="00B648D1">
      <w:pPr>
        <w:tabs>
          <w:tab w:val="left" w:pos="640"/>
        </w:tabs>
        <w:jc w:val="both"/>
        <w:rPr>
          <w:i/>
          <w:iCs/>
          <w:sz w:val="22"/>
          <w:szCs w:val="22"/>
        </w:rPr>
      </w:pPr>
    </w:p>
    <w:p w14:paraId="45BBD9F1" w14:textId="3F9E7297" w:rsidR="00006719" w:rsidRPr="00960388" w:rsidRDefault="00006719" w:rsidP="00B648D1">
      <w:pPr>
        <w:tabs>
          <w:tab w:val="left" w:pos="640"/>
        </w:tabs>
        <w:jc w:val="both"/>
        <w:rPr>
          <w:i/>
          <w:iCs/>
          <w:sz w:val="22"/>
          <w:szCs w:val="22"/>
        </w:rPr>
      </w:pPr>
      <w:r w:rsidRPr="00006719">
        <w:rPr>
          <w:b/>
          <w:bCs/>
          <w:i/>
          <w:iCs/>
          <w:sz w:val="22"/>
          <w:szCs w:val="22"/>
        </w:rPr>
        <w:t xml:space="preserve">Proposal </w:t>
      </w:r>
      <w:r>
        <w:rPr>
          <w:b/>
          <w:bCs/>
          <w:i/>
          <w:iCs/>
          <w:sz w:val="22"/>
          <w:szCs w:val="22"/>
        </w:rPr>
        <w:t>3</w:t>
      </w:r>
      <w:r w:rsidRPr="00960388">
        <w:rPr>
          <w:i/>
          <w:iCs/>
          <w:sz w:val="22"/>
          <w:szCs w:val="22"/>
        </w:rPr>
        <w:t>: RAN</w:t>
      </w:r>
      <w:r>
        <w:rPr>
          <w:i/>
          <w:iCs/>
          <w:sz w:val="22"/>
          <w:szCs w:val="22"/>
        </w:rPr>
        <w:t xml:space="preserve"> </w:t>
      </w:r>
      <w:r w:rsidRPr="00960388">
        <w:rPr>
          <w:i/>
          <w:iCs/>
          <w:sz w:val="22"/>
          <w:szCs w:val="22"/>
        </w:rPr>
        <w:t>1 should define</w:t>
      </w:r>
      <w:r>
        <w:rPr>
          <w:i/>
          <w:iCs/>
          <w:sz w:val="22"/>
          <w:szCs w:val="22"/>
        </w:rPr>
        <w:t xml:space="preserve"> </w:t>
      </w:r>
      <w:r w:rsidRPr="00960388">
        <w:rPr>
          <w:i/>
          <w:iCs/>
          <w:sz w:val="22"/>
          <w:szCs w:val="22"/>
        </w:rPr>
        <w:t>the PDCCH Monitoring Occasions per slot group.</w:t>
      </w:r>
      <w:r>
        <w:rPr>
          <w:i/>
          <w:iCs/>
          <w:sz w:val="22"/>
          <w:szCs w:val="22"/>
        </w:rPr>
        <w:t xml:space="preserve"> The MO could be defined as follows:</w:t>
      </w:r>
    </w:p>
    <w:p w14:paraId="52A4C86B" w14:textId="77777777" w:rsidR="00006719" w:rsidRPr="00006719" w:rsidRDefault="00006719" w:rsidP="00B648D1">
      <w:pPr>
        <w:pStyle w:val="ListParagraph"/>
        <w:numPr>
          <w:ilvl w:val="0"/>
          <w:numId w:val="31"/>
        </w:numPr>
        <w:ind w:leftChars="0"/>
        <w:jc w:val="both"/>
        <w:rPr>
          <w:i/>
          <w:iCs/>
          <w:sz w:val="22"/>
          <w:szCs w:val="22"/>
        </w:rPr>
      </w:pPr>
      <w:r w:rsidRPr="00006719">
        <w:rPr>
          <w:i/>
          <w:iCs/>
          <w:sz w:val="22"/>
          <w:szCs w:val="22"/>
        </w:rPr>
        <w:t>Type 1: For all the slots  in the slot group, PDCCH monitoring occurs within the first X symbols of the multiple slots</w:t>
      </w:r>
    </w:p>
    <w:p w14:paraId="16A990DB" w14:textId="77777777" w:rsidR="00006719" w:rsidRPr="00006719" w:rsidRDefault="00006719" w:rsidP="00B648D1">
      <w:pPr>
        <w:pStyle w:val="ListParagraph"/>
        <w:numPr>
          <w:ilvl w:val="0"/>
          <w:numId w:val="31"/>
        </w:numPr>
        <w:ind w:leftChars="0"/>
        <w:jc w:val="both"/>
        <w:rPr>
          <w:i/>
          <w:iCs/>
          <w:sz w:val="22"/>
          <w:szCs w:val="22"/>
        </w:rPr>
      </w:pPr>
      <w:r w:rsidRPr="00006719">
        <w:rPr>
          <w:i/>
          <w:iCs/>
          <w:sz w:val="22"/>
          <w:szCs w:val="22"/>
        </w:rPr>
        <w:t xml:space="preserve">Type 2: For all the slots in the slot group, PDCCH monitoring occurs on any span of X consecutive symbols within the multiple slots. </w:t>
      </w:r>
    </w:p>
    <w:p w14:paraId="0226EF30" w14:textId="77777777" w:rsidR="00006719" w:rsidRPr="00006719" w:rsidRDefault="00006719" w:rsidP="00B648D1">
      <w:pPr>
        <w:pStyle w:val="ListParagraph"/>
        <w:numPr>
          <w:ilvl w:val="0"/>
          <w:numId w:val="31"/>
        </w:numPr>
        <w:ind w:leftChars="0"/>
        <w:jc w:val="both"/>
        <w:rPr>
          <w:i/>
          <w:iCs/>
          <w:sz w:val="22"/>
          <w:szCs w:val="22"/>
        </w:rPr>
      </w:pPr>
      <w:r w:rsidRPr="00006719">
        <w:rPr>
          <w:i/>
          <w:iCs/>
          <w:sz w:val="22"/>
          <w:szCs w:val="22"/>
        </w:rPr>
        <w:t xml:space="preserve">Type 3: All PDCCH monitoring occasions can be in any OFDM symbol of a slot-group with a minimum time separation between 2 consecutive transmissions of the PDCCH. </w:t>
      </w:r>
    </w:p>
    <w:p w14:paraId="2AB2BECF" w14:textId="77777777" w:rsidR="00006719" w:rsidRDefault="00006719" w:rsidP="00B648D1">
      <w:pPr>
        <w:pStyle w:val="ListParagraph"/>
        <w:numPr>
          <w:ilvl w:val="1"/>
          <w:numId w:val="31"/>
        </w:numPr>
        <w:ind w:leftChars="0"/>
        <w:jc w:val="both"/>
        <w:rPr>
          <w:i/>
          <w:iCs/>
          <w:sz w:val="22"/>
          <w:szCs w:val="22"/>
        </w:rPr>
      </w:pPr>
      <w:r w:rsidRPr="00006719">
        <w:rPr>
          <w:i/>
          <w:iCs/>
          <w:sz w:val="22"/>
          <w:szCs w:val="22"/>
        </w:rPr>
        <w:t xml:space="preserve">X : Number of OFDM symbols within which the monitoring occasion occurs, </w:t>
      </w:r>
    </w:p>
    <w:p w14:paraId="264ED1C9" w14:textId="77777777" w:rsidR="00006719" w:rsidRDefault="00006719" w:rsidP="00B648D1">
      <w:pPr>
        <w:pStyle w:val="ListParagraph"/>
        <w:numPr>
          <w:ilvl w:val="1"/>
          <w:numId w:val="31"/>
        </w:numPr>
        <w:ind w:leftChars="0"/>
        <w:jc w:val="both"/>
        <w:rPr>
          <w:i/>
          <w:iCs/>
          <w:sz w:val="22"/>
          <w:szCs w:val="22"/>
        </w:rPr>
      </w:pPr>
      <w:r w:rsidRPr="00006719">
        <w:rPr>
          <w:i/>
          <w:iCs/>
          <w:sz w:val="22"/>
          <w:szCs w:val="22"/>
        </w:rPr>
        <w:t>Y: minimum number of OFDM symbols between the start of different PDCCH Mos</w:t>
      </w:r>
    </w:p>
    <w:p w14:paraId="38D2DA8C" w14:textId="77777777" w:rsidR="00006719" w:rsidRDefault="00006719" w:rsidP="00B648D1">
      <w:pPr>
        <w:pStyle w:val="ListParagraph"/>
        <w:numPr>
          <w:ilvl w:val="1"/>
          <w:numId w:val="31"/>
        </w:numPr>
        <w:ind w:leftChars="0"/>
        <w:jc w:val="both"/>
        <w:rPr>
          <w:i/>
          <w:iCs/>
          <w:sz w:val="22"/>
          <w:szCs w:val="22"/>
        </w:rPr>
      </w:pPr>
      <w:r w:rsidRPr="00006719">
        <w:rPr>
          <w:i/>
          <w:iCs/>
          <w:sz w:val="22"/>
          <w:szCs w:val="22"/>
        </w:rPr>
        <w:t>Z: Slot group size</w:t>
      </w:r>
    </w:p>
    <w:p w14:paraId="0C16EE20" w14:textId="77777777" w:rsidR="00006719" w:rsidRPr="00006719" w:rsidRDefault="00006719" w:rsidP="00006719">
      <w:pPr>
        <w:rPr>
          <w:i/>
          <w:iCs/>
          <w:sz w:val="22"/>
          <w:szCs w:val="22"/>
        </w:rPr>
      </w:pPr>
    </w:p>
    <w:p w14:paraId="66B9FD1E" w14:textId="77777777" w:rsidR="00006719" w:rsidRPr="00960388" w:rsidRDefault="00006719" w:rsidP="00B648D1">
      <w:pPr>
        <w:jc w:val="both"/>
        <w:rPr>
          <w:i/>
          <w:iCs/>
          <w:sz w:val="22"/>
          <w:szCs w:val="22"/>
        </w:rPr>
      </w:pPr>
      <w:r w:rsidRPr="00006719">
        <w:rPr>
          <w:b/>
          <w:bCs/>
          <w:i/>
          <w:iCs/>
          <w:sz w:val="22"/>
          <w:szCs w:val="22"/>
        </w:rPr>
        <w:lastRenderedPageBreak/>
        <w:t>Proposal 4:</w:t>
      </w:r>
      <w:r w:rsidRPr="00960388">
        <w:rPr>
          <w:i/>
          <w:iCs/>
          <w:sz w:val="22"/>
          <w:szCs w:val="22"/>
        </w:rPr>
        <w:t xml:space="preserve"> Overbooking and dropping are performed per slot group.</w:t>
      </w:r>
    </w:p>
    <w:p w14:paraId="248EDB86" w14:textId="77777777" w:rsidR="004679FD" w:rsidRPr="00C144FF" w:rsidRDefault="004679FD" w:rsidP="00E5019D">
      <w:pPr>
        <w:tabs>
          <w:tab w:val="left" w:pos="540"/>
        </w:tabs>
        <w:jc w:val="both"/>
        <w:rPr>
          <w:rFonts w:eastAsia="Batang"/>
          <w:i/>
          <w:color w:val="000000"/>
          <w:kern w:val="2"/>
          <w:sz w:val="22"/>
          <w:szCs w:val="22"/>
        </w:rPr>
      </w:pPr>
    </w:p>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8"/>
    </w:p>
    <w:p w14:paraId="4934A4D9" w14:textId="4ECA4976"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9" w:name="_Ref61720508"/>
      <w:r w:rsidRPr="00915C37">
        <w:rPr>
          <w:bCs/>
          <w:sz w:val="22"/>
          <w:szCs w:val="22"/>
          <w:lang w:val="en-GB"/>
        </w:rPr>
        <w:t>3GPP TR 38.808 V1.0.0 (2020-12</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9"/>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10"/>
      <w:r w:rsidR="00915C37">
        <w:rPr>
          <w:sz w:val="22"/>
          <w:szCs w:val="22"/>
          <w:lang w:val="en-GB"/>
        </w:rPr>
        <w:t xml:space="preserve">3GPP Work Item Description on </w:t>
      </w:r>
      <w:r w:rsidR="00915C37" w:rsidRPr="00915C37">
        <w:rPr>
          <w:sz w:val="22"/>
          <w:szCs w:val="22"/>
          <w:lang w:val="en-GB"/>
        </w:rPr>
        <w:t>Extending current NR operation to 71GHz</w:t>
      </w:r>
    </w:p>
    <w:p w14:paraId="2E6CB519" w14:textId="10CCE8EB" w:rsidR="00196E1D" w:rsidRPr="00915C37"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53750334"/>
      <w:bookmarkStart w:id="12" w:name="_Ref61153333"/>
      <w:r w:rsidRPr="00915C37">
        <w:rPr>
          <w:bCs/>
          <w:sz w:val="22"/>
          <w:szCs w:val="22"/>
          <w:lang w:val="en-GB"/>
        </w:rPr>
        <w:t>Chairman’s Notes, RAN1 #102-e, August 2020</w:t>
      </w:r>
      <w:bookmarkEnd w:id="11"/>
    </w:p>
    <w:p w14:paraId="1B6C5461" w14:textId="5913CCF3" w:rsidR="00196E1D" w:rsidRPr="00915C37" w:rsidRDefault="00196E1D"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53750335"/>
      <w:r w:rsidRPr="00915C37">
        <w:rPr>
          <w:bCs/>
          <w:sz w:val="22"/>
          <w:szCs w:val="22"/>
          <w:lang w:val="en-GB"/>
        </w:rPr>
        <w:t>Chairman’s Notes, RAN1 #103-e, October 2020</w:t>
      </w:r>
      <w:bookmarkEnd w:id="13"/>
    </w:p>
    <w:bookmarkEnd w:id="12"/>
    <w:p w14:paraId="4944065C" w14:textId="7ECFFF25" w:rsidR="00C11CAC" w:rsidRPr="00915C37"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r w:rsidRPr="00915C37">
        <w:rPr>
          <w:bCs/>
          <w:sz w:val="22"/>
          <w:szCs w:val="22"/>
          <w:lang w:val="en-GB"/>
        </w:rPr>
        <w:t>3GPP TR 38.822 V15.0.1 (2019-07), User Equipment (UE) feature list (Release 15)</w:t>
      </w:r>
    </w:p>
    <w:p w14:paraId="75B681ED" w14:textId="181741B5" w:rsidR="00EA68E6" w:rsidRPr="00006719" w:rsidRDefault="00C11CAC"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4" w:name="_Ref61336531"/>
      <w:r w:rsidRPr="00915C37">
        <w:rPr>
          <w:bCs/>
          <w:sz w:val="22"/>
          <w:szCs w:val="22"/>
          <w:lang w:val="en-GB"/>
        </w:rPr>
        <w:t>R1-2007326,</w:t>
      </w:r>
      <w:r w:rsidRPr="00006719">
        <w:rPr>
          <w:bCs/>
          <w:sz w:val="22"/>
          <w:szCs w:val="22"/>
          <w:lang w:val="en-GB"/>
        </w:rPr>
        <w:t xml:space="preserve"> </w:t>
      </w:r>
      <w:r w:rsidRPr="00006719">
        <w:rPr>
          <w:bCs/>
          <w:sz w:val="22"/>
          <w:szCs w:val="22"/>
        </w:rPr>
        <w:t>Updated RAN1 UE features list for Rel-16 NR including remaining RAN1 issues</w:t>
      </w:r>
      <w:bookmarkEnd w:id="14"/>
    </w:p>
    <w:sectPr w:rsidR="00EA68E6" w:rsidRPr="00006719"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FB884" w14:textId="77777777" w:rsidR="00971D9B" w:rsidRDefault="00971D9B" w:rsidP="00161DF4">
      <w:r>
        <w:separator/>
      </w:r>
    </w:p>
  </w:endnote>
  <w:endnote w:type="continuationSeparator" w:id="0">
    <w:p w14:paraId="4036B80D" w14:textId="77777777" w:rsidR="00971D9B" w:rsidRDefault="00971D9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悘ஶ"/>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3D053" w14:textId="77777777" w:rsidR="00971D9B" w:rsidRDefault="00971D9B" w:rsidP="00161DF4">
      <w:r>
        <w:separator/>
      </w:r>
    </w:p>
  </w:footnote>
  <w:footnote w:type="continuationSeparator" w:id="0">
    <w:p w14:paraId="1057A9B4" w14:textId="77777777" w:rsidR="00971D9B" w:rsidRDefault="00971D9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2D608C"/>
    <w:multiLevelType w:val="hybridMultilevel"/>
    <w:tmpl w:val="257A1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174D4"/>
    <w:multiLevelType w:val="hybridMultilevel"/>
    <w:tmpl w:val="78467F9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D05574"/>
    <w:multiLevelType w:val="hybridMultilevel"/>
    <w:tmpl w:val="8074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4F0EEA"/>
    <w:multiLevelType w:val="hybridMultilevel"/>
    <w:tmpl w:val="8D66E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034CB"/>
    <w:multiLevelType w:val="hybridMultilevel"/>
    <w:tmpl w:val="C37C1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A57B2"/>
    <w:multiLevelType w:val="hybridMultilevel"/>
    <w:tmpl w:val="318C5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1" w15:restartNumberingAfterBreak="0">
    <w:nsid w:val="18EE1397"/>
    <w:multiLevelType w:val="hybridMultilevel"/>
    <w:tmpl w:val="01CA1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7F3C3B"/>
    <w:multiLevelType w:val="hybridMultilevel"/>
    <w:tmpl w:val="DD2A36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E931F1"/>
    <w:multiLevelType w:val="multilevel"/>
    <w:tmpl w:val="28E93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94772C"/>
    <w:multiLevelType w:val="hybridMultilevel"/>
    <w:tmpl w:val="67FCB7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5575F"/>
    <w:multiLevelType w:val="hybridMultilevel"/>
    <w:tmpl w:val="217036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543471"/>
    <w:multiLevelType w:val="multilevel"/>
    <w:tmpl w:val="0F271055"/>
    <w:lvl w:ilvl="0">
      <w:start w:val="1"/>
      <w:numFmt w:val="decimal"/>
      <w:lvlText w:val="%1."/>
      <w:lvlJc w:val="left"/>
      <w:pPr>
        <w:ind w:left="405" w:hanging="360"/>
      </w:pPr>
      <w:rPr>
        <w:rFonts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7" w15:restartNumberingAfterBreak="0">
    <w:nsid w:val="368E1B7E"/>
    <w:multiLevelType w:val="hybridMultilevel"/>
    <w:tmpl w:val="E1481C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7A23B1"/>
    <w:multiLevelType w:val="hybridMultilevel"/>
    <w:tmpl w:val="F7F660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B65989"/>
    <w:multiLevelType w:val="hybridMultilevel"/>
    <w:tmpl w:val="51220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37CC2"/>
    <w:multiLevelType w:val="hybridMultilevel"/>
    <w:tmpl w:val="E69A3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AB1465"/>
    <w:multiLevelType w:val="hybridMultilevel"/>
    <w:tmpl w:val="4B766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67E61"/>
    <w:multiLevelType w:val="hybridMultilevel"/>
    <w:tmpl w:val="2AC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80352"/>
    <w:multiLevelType w:val="hybridMultilevel"/>
    <w:tmpl w:val="5DB45B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0F75228"/>
    <w:multiLevelType w:val="hybridMultilevel"/>
    <w:tmpl w:val="31841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F36A62"/>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6"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9B2E64"/>
    <w:multiLevelType w:val="hybridMultilevel"/>
    <w:tmpl w:val="84A41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C777BC9"/>
    <w:multiLevelType w:val="hybridMultilevel"/>
    <w:tmpl w:val="253A6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E30B61"/>
    <w:multiLevelType w:val="hybridMultilevel"/>
    <w:tmpl w:val="5EA6A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8104AF"/>
    <w:multiLevelType w:val="hybridMultilevel"/>
    <w:tmpl w:val="9EE66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5B688D"/>
    <w:multiLevelType w:val="hybridMultilevel"/>
    <w:tmpl w:val="2BF6E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27"/>
  </w:num>
  <w:num w:numId="4">
    <w:abstractNumId w:val="8"/>
  </w:num>
  <w:num w:numId="5">
    <w:abstractNumId w:val="21"/>
  </w:num>
  <w:num w:numId="6">
    <w:abstractNumId w:val="20"/>
  </w:num>
  <w:num w:numId="7">
    <w:abstractNumId w:val="29"/>
  </w:num>
  <w:num w:numId="8">
    <w:abstractNumId w:val="28"/>
  </w:num>
  <w:num w:numId="9">
    <w:abstractNumId w:val="12"/>
  </w:num>
  <w:num w:numId="10">
    <w:abstractNumId w:val="1"/>
  </w:num>
  <w:num w:numId="11">
    <w:abstractNumId w:val="18"/>
  </w:num>
  <w:num w:numId="12">
    <w:abstractNumId w:val="10"/>
  </w:num>
  <w:num w:numId="13">
    <w:abstractNumId w:val="25"/>
  </w:num>
  <w:num w:numId="14">
    <w:abstractNumId w:val="9"/>
  </w:num>
  <w:num w:numId="15">
    <w:abstractNumId w:val="7"/>
  </w:num>
  <w:num w:numId="16">
    <w:abstractNumId w:val="16"/>
  </w:num>
  <w:num w:numId="17">
    <w:abstractNumId w:val="22"/>
  </w:num>
  <w:num w:numId="18">
    <w:abstractNumId w:val="30"/>
  </w:num>
  <w:num w:numId="19">
    <w:abstractNumId w:val="11"/>
  </w:num>
  <w:num w:numId="20">
    <w:abstractNumId w:val="17"/>
  </w:num>
  <w:num w:numId="21">
    <w:abstractNumId w:val="5"/>
  </w:num>
  <w:num w:numId="22">
    <w:abstractNumId w:val="14"/>
  </w:num>
  <w:num w:numId="23">
    <w:abstractNumId w:val="31"/>
  </w:num>
  <w:num w:numId="24">
    <w:abstractNumId w:val="4"/>
  </w:num>
  <w:num w:numId="25">
    <w:abstractNumId w:val="15"/>
  </w:num>
  <w:num w:numId="26">
    <w:abstractNumId w:val="13"/>
  </w:num>
  <w:num w:numId="27">
    <w:abstractNumId w:val="0"/>
  </w:num>
  <w:num w:numId="28">
    <w:abstractNumId w:val="19"/>
  </w:num>
  <w:num w:numId="29">
    <w:abstractNumId w:val="26"/>
  </w:num>
  <w:num w:numId="30">
    <w:abstractNumId w:val="23"/>
  </w:num>
  <w:num w:numId="31">
    <w:abstractNumId w:val="24"/>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removePersonalInformation/>
  <w:removeDateAndTim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612B"/>
    <w:rsid w:val="000605BB"/>
    <w:rsid w:val="00064549"/>
    <w:rsid w:val="00067C74"/>
    <w:rsid w:val="00073136"/>
    <w:rsid w:val="00075735"/>
    <w:rsid w:val="000833DB"/>
    <w:rsid w:val="00086D3F"/>
    <w:rsid w:val="00087B6E"/>
    <w:rsid w:val="000910D7"/>
    <w:rsid w:val="00092209"/>
    <w:rsid w:val="000A1890"/>
    <w:rsid w:val="000A2AAA"/>
    <w:rsid w:val="000A3013"/>
    <w:rsid w:val="000A432A"/>
    <w:rsid w:val="000A7DA5"/>
    <w:rsid w:val="000B0EE6"/>
    <w:rsid w:val="000B40A3"/>
    <w:rsid w:val="000B4F61"/>
    <w:rsid w:val="000C3D00"/>
    <w:rsid w:val="000C560B"/>
    <w:rsid w:val="000C62A2"/>
    <w:rsid w:val="000D1A8F"/>
    <w:rsid w:val="000D4809"/>
    <w:rsid w:val="000F2C70"/>
    <w:rsid w:val="0010119A"/>
    <w:rsid w:val="0010756F"/>
    <w:rsid w:val="001144DC"/>
    <w:rsid w:val="00116CE5"/>
    <w:rsid w:val="0012068C"/>
    <w:rsid w:val="00123C79"/>
    <w:rsid w:val="00127219"/>
    <w:rsid w:val="00130600"/>
    <w:rsid w:val="00140849"/>
    <w:rsid w:val="001408EE"/>
    <w:rsid w:val="001412B7"/>
    <w:rsid w:val="00143F2E"/>
    <w:rsid w:val="001454B7"/>
    <w:rsid w:val="00151E5F"/>
    <w:rsid w:val="001522EE"/>
    <w:rsid w:val="00153773"/>
    <w:rsid w:val="0015438D"/>
    <w:rsid w:val="00161DF4"/>
    <w:rsid w:val="00163E9A"/>
    <w:rsid w:val="001666C6"/>
    <w:rsid w:val="001779C8"/>
    <w:rsid w:val="00185220"/>
    <w:rsid w:val="0018607A"/>
    <w:rsid w:val="00190D2B"/>
    <w:rsid w:val="00194352"/>
    <w:rsid w:val="00194BBD"/>
    <w:rsid w:val="00196E1D"/>
    <w:rsid w:val="00196F0A"/>
    <w:rsid w:val="001A6E2A"/>
    <w:rsid w:val="001A7109"/>
    <w:rsid w:val="001A711F"/>
    <w:rsid w:val="001B2A5D"/>
    <w:rsid w:val="001B2AEE"/>
    <w:rsid w:val="001C528B"/>
    <w:rsid w:val="001D5CE5"/>
    <w:rsid w:val="001D749D"/>
    <w:rsid w:val="001F16C3"/>
    <w:rsid w:val="002047CD"/>
    <w:rsid w:val="002047D4"/>
    <w:rsid w:val="002134C9"/>
    <w:rsid w:val="00220B0E"/>
    <w:rsid w:val="00232222"/>
    <w:rsid w:val="00252B41"/>
    <w:rsid w:val="00266E0F"/>
    <w:rsid w:val="002738F9"/>
    <w:rsid w:val="00274F27"/>
    <w:rsid w:val="00276534"/>
    <w:rsid w:val="00276E66"/>
    <w:rsid w:val="00280F9D"/>
    <w:rsid w:val="00284AB0"/>
    <w:rsid w:val="00285B13"/>
    <w:rsid w:val="00285DD5"/>
    <w:rsid w:val="002868E1"/>
    <w:rsid w:val="002948FF"/>
    <w:rsid w:val="00295B2A"/>
    <w:rsid w:val="002960C1"/>
    <w:rsid w:val="002972B7"/>
    <w:rsid w:val="002A274D"/>
    <w:rsid w:val="002A4704"/>
    <w:rsid w:val="002A5B21"/>
    <w:rsid w:val="002B05B7"/>
    <w:rsid w:val="002B162B"/>
    <w:rsid w:val="002B5FC9"/>
    <w:rsid w:val="002B6731"/>
    <w:rsid w:val="002B72F3"/>
    <w:rsid w:val="002B7E2A"/>
    <w:rsid w:val="002C4EFD"/>
    <w:rsid w:val="002C57AC"/>
    <w:rsid w:val="002D157A"/>
    <w:rsid w:val="002D41EF"/>
    <w:rsid w:val="002D5BF8"/>
    <w:rsid w:val="002D68CE"/>
    <w:rsid w:val="002E362A"/>
    <w:rsid w:val="002E62B8"/>
    <w:rsid w:val="002E7927"/>
    <w:rsid w:val="002F6A37"/>
    <w:rsid w:val="00302D87"/>
    <w:rsid w:val="003043B3"/>
    <w:rsid w:val="003105DC"/>
    <w:rsid w:val="00310BD2"/>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97AA2"/>
    <w:rsid w:val="003A0742"/>
    <w:rsid w:val="003A13B3"/>
    <w:rsid w:val="003A5B30"/>
    <w:rsid w:val="003B5721"/>
    <w:rsid w:val="003C6398"/>
    <w:rsid w:val="003D3A94"/>
    <w:rsid w:val="003D5CFF"/>
    <w:rsid w:val="003E75B6"/>
    <w:rsid w:val="003F2F79"/>
    <w:rsid w:val="003F670D"/>
    <w:rsid w:val="004017DC"/>
    <w:rsid w:val="0040315C"/>
    <w:rsid w:val="00405A98"/>
    <w:rsid w:val="00406FB8"/>
    <w:rsid w:val="00417FC9"/>
    <w:rsid w:val="00425729"/>
    <w:rsid w:val="00425D1A"/>
    <w:rsid w:val="00430AB1"/>
    <w:rsid w:val="00431CD3"/>
    <w:rsid w:val="0043338E"/>
    <w:rsid w:val="00440721"/>
    <w:rsid w:val="004419CA"/>
    <w:rsid w:val="004458A9"/>
    <w:rsid w:val="00446818"/>
    <w:rsid w:val="00447039"/>
    <w:rsid w:val="004516DF"/>
    <w:rsid w:val="00461B15"/>
    <w:rsid w:val="00462395"/>
    <w:rsid w:val="00463D8C"/>
    <w:rsid w:val="004679FD"/>
    <w:rsid w:val="00475C2B"/>
    <w:rsid w:val="00476CE9"/>
    <w:rsid w:val="00482475"/>
    <w:rsid w:val="00484173"/>
    <w:rsid w:val="00496D0C"/>
    <w:rsid w:val="004A1F1C"/>
    <w:rsid w:val="004A41EF"/>
    <w:rsid w:val="004B05E8"/>
    <w:rsid w:val="004B1AAE"/>
    <w:rsid w:val="004B1C85"/>
    <w:rsid w:val="004B2C35"/>
    <w:rsid w:val="004B3124"/>
    <w:rsid w:val="004B408D"/>
    <w:rsid w:val="004B74CC"/>
    <w:rsid w:val="004C152A"/>
    <w:rsid w:val="004C72E5"/>
    <w:rsid w:val="004D2D29"/>
    <w:rsid w:val="004E4A0C"/>
    <w:rsid w:val="004F04BF"/>
    <w:rsid w:val="0050538C"/>
    <w:rsid w:val="005070D0"/>
    <w:rsid w:val="005150C5"/>
    <w:rsid w:val="00517ADD"/>
    <w:rsid w:val="00517CF1"/>
    <w:rsid w:val="00530AB8"/>
    <w:rsid w:val="005363A1"/>
    <w:rsid w:val="0053782C"/>
    <w:rsid w:val="00537F2B"/>
    <w:rsid w:val="00550F71"/>
    <w:rsid w:val="00556671"/>
    <w:rsid w:val="00557401"/>
    <w:rsid w:val="00560FDD"/>
    <w:rsid w:val="00566326"/>
    <w:rsid w:val="00572A9C"/>
    <w:rsid w:val="0057649C"/>
    <w:rsid w:val="0058082D"/>
    <w:rsid w:val="005811A6"/>
    <w:rsid w:val="00591848"/>
    <w:rsid w:val="005954E4"/>
    <w:rsid w:val="00595501"/>
    <w:rsid w:val="005955FB"/>
    <w:rsid w:val="005A49A7"/>
    <w:rsid w:val="005B1AD1"/>
    <w:rsid w:val="005B3161"/>
    <w:rsid w:val="005B6997"/>
    <w:rsid w:val="005D0006"/>
    <w:rsid w:val="005D45F7"/>
    <w:rsid w:val="005D52EC"/>
    <w:rsid w:val="005D57A7"/>
    <w:rsid w:val="005E1D6C"/>
    <w:rsid w:val="005E3D31"/>
    <w:rsid w:val="005E5F6C"/>
    <w:rsid w:val="005F0B11"/>
    <w:rsid w:val="005F5500"/>
    <w:rsid w:val="005F5A01"/>
    <w:rsid w:val="005F7A0E"/>
    <w:rsid w:val="00610BE9"/>
    <w:rsid w:val="00615697"/>
    <w:rsid w:val="0061765C"/>
    <w:rsid w:val="00621B57"/>
    <w:rsid w:val="00626534"/>
    <w:rsid w:val="00631A14"/>
    <w:rsid w:val="00635837"/>
    <w:rsid w:val="00636D7B"/>
    <w:rsid w:val="00642303"/>
    <w:rsid w:val="00644476"/>
    <w:rsid w:val="00646B05"/>
    <w:rsid w:val="00647210"/>
    <w:rsid w:val="006531B1"/>
    <w:rsid w:val="00661178"/>
    <w:rsid w:val="00664689"/>
    <w:rsid w:val="006664E6"/>
    <w:rsid w:val="00671652"/>
    <w:rsid w:val="006757A7"/>
    <w:rsid w:val="006765F4"/>
    <w:rsid w:val="006808DA"/>
    <w:rsid w:val="0068184E"/>
    <w:rsid w:val="00685938"/>
    <w:rsid w:val="0069201C"/>
    <w:rsid w:val="00696F45"/>
    <w:rsid w:val="006A45D6"/>
    <w:rsid w:val="006A634E"/>
    <w:rsid w:val="006B2682"/>
    <w:rsid w:val="006B47D8"/>
    <w:rsid w:val="006B6AAA"/>
    <w:rsid w:val="006C5F12"/>
    <w:rsid w:val="006D2608"/>
    <w:rsid w:val="006D54CF"/>
    <w:rsid w:val="006D79C4"/>
    <w:rsid w:val="006E62CF"/>
    <w:rsid w:val="006F0EC9"/>
    <w:rsid w:val="006F378B"/>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79E8"/>
    <w:rsid w:val="0079126B"/>
    <w:rsid w:val="007932B8"/>
    <w:rsid w:val="007A1B25"/>
    <w:rsid w:val="007B03C8"/>
    <w:rsid w:val="007B21FD"/>
    <w:rsid w:val="007B38C1"/>
    <w:rsid w:val="007B6960"/>
    <w:rsid w:val="007C405F"/>
    <w:rsid w:val="007C7721"/>
    <w:rsid w:val="007D0B54"/>
    <w:rsid w:val="007D0D93"/>
    <w:rsid w:val="007D597E"/>
    <w:rsid w:val="007D61E0"/>
    <w:rsid w:val="007E554B"/>
    <w:rsid w:val="007E6FF6"/>
    <w:rsid w:val="007E72BE"/>
    <w:rsid w:val="007F07F8"/>
    <w:rsid w:val="007F128C"/>
    <w:rsid w:val="007F4D2C"/>
    <w:rsid w:val="0081013A"/>
    <w:rsid w:val="0081180F"/>
    <w:rsid w:val="008134DE"/>
    <w:rsid w:val="008144EA"/>
    <w:rsid w:val="00817343"/>
    <w:rsid w:val="00824EBE"/>
    <w:rsid w:val="008273C9"/>
    <w:rsid w:val="00836085"/>
    <w:rsid w:val="0084192D"/>
    <w:rsid w:val="00846C7E"/>
    <w:rsid w:val="00855551"/>
    <w:rsid w:val="0086332B"/>
    <w:rsid w:val="008674E9"/>
    <w:rsid w:val="008726A8"/>
    <w:rsid w:val="00873C38"/>
    <w:rsid w:val="0087681E"/>
    <w:rsid w:val="0089138A"/>
    <w:rsid w:val="00894787"/>
    <w:rsid w:val="00895000"/>
    <w:rsid w:val="008A13B7"/>
    <w:rsid w:val="008A1BD4"/>
    <w:rsid w:val="008A220B"/>
    <w:rsid w:val="008A25E9"/>
    <w:rsid w:val="008A65A1"/>
    <w:rsid w:val="008B24BF"/>
    <w:rsid w:val="008B3B70"/>
    <w:rsid w:val="008B4B8C"/>
    <w:rsid w:val="008C65E8"/>
    <w:rsid w:val="008D0789"/>
    <w:rsid w:val="008D1863"/>
    <w:rsid w:val="008D6AE1"/>
    <w:rsid w:val="008E07A2"/>
    <w:rsid w:val="008E10F0"/>
    <w:rsid w:val="008E4EC6"/>
    <w:rsid w:val="008E5031"/>
    <w:rsid w:val="008F70CD"/>
    <w:rsid w:val="0090165A"/>
    <w:rsid w:val="009041E5"/>
    <w:rsid w:val="00905E3A"/>
    <w:rsid w:val="00911E05"/>
    <w:rsid w:val="00911EFA"/>
    <w:rsid w:val="00915C37"/>
    <w:rsid w:val="009169C4"/>
    <w:rsid w:val="00916E49"/>
    <w:rsid w:val="00920D1B"/>
    <w:rsid w:val="00923A3D"/>
    <w:rsid w:val="00931DE7"/>
    <w:rsid w:val="00933BA9"/>
    <w:rsid w:val="00935E6B"/>
    <w:rsid w:val="00950F90"/>
    <w:rsid w:val="00952748"/>
    <w:rsid w:val="009561E2"/>
    <w:rsid w:val="00960388"/>
    <w:rsid w:val="009638DF"/>
    <w:rsid w:val="00971D9B"/>
    <w:rsid w:val="00972708"/>
    <w:rsid w:val="0097297A"/>
    <w:rsid w:val="009740C8"/>
    <w:rsid w:val="00977119"/>
    <w:rsid w:val="00980153"/>
    <w:rsid w:val="00983F09"/>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3AB7"/>
    <w:rsid w:val="009F43C1"/>
    <w:rsid w:val="009F58CE"/>
    <w:rsid w:val="009F64E0"/>
    <w:rsid w:val="009F7D20"/>
    <w:rsid w:val="009F7DD0"/>
    <w:rsid w:val="00A026E1"/>
    <w:rsid w:val="00A1036A"/>
    <w:rsid w:val="00A1471D"/>
    <w:rsid w:val="00A159B3"/>
    <w:rsid w:val="00A26B99"/>
    <w:rsid w:val="00A3059C"/>
    <w:rsid w:val="00A352F0"/>
    <w:rsid w:val="00A36981"/>
    <w:rsid w:val="00A41183"/>
    <w:rsid w:val="00A41EE3"/>
    <w:rsid w:val="00A4413F"/>
    <w:rsid w:val="00A45363"/>
    <w:rsid w:val="00A51C5F"/>
    <w:rsid w:val="00A5382B"/>
    <w:rsid w:val="00A54E8C"/>
    <w:rsid w:val="00A5675A"/>
    <w:rsid w:val="00A71667"/>
    <w:rsid w:val="00A805B9"/>
    <w:rsid w:val="00A934CF"/>
    <w:rsid w:val="00A93DEE"/>
    <w:rsid w:val="00A95A78"/>
    <w:rsid w:val="00AA1820"/>
    <w:rsid w:val="00AA32E9"/>
    <w:rsid w:val="00AB26E1"/>
    <w:rsid w:val="00AB371D"/>
    <w:rsid w:val="00AD1997"/>
    <w:rsid w:val="00AE13C6"/>
    <w:rsid w:val="00AE21B6"/>
    <w:rsid w:val="00AE42B6"/>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437B0"/>
    <w:rsid w:val="00B45BF4"/>
    <w:rsid w:val="00B460ED"/>
    <w:rsid w:val="00B56AA7"/>
    <w:rsid w:val="00B648D1"/>
    <w:rsid w:val="00B66598"/>
    <w:rsid w:val="00B67B38"/>
    <w:rsid w:val="00B706ED"/>
    <w:rsid w:val="00B72388"/>
    <w:rsid w:val="00B777EC"/>
    <w:rsid w:val="00B77CE0"/>
    <w:rsid w:val="00B8140B"/>
    <w:rsid w:val="00B875E8"/>
    <w:rsid w:val="00B92DC3"/>
    <w:rsid w:val="00B959B3"/>
    <w:rsid w:val="00BA24F8"/>
    <w:rsid w:val="00BB5FC3"/>
    <w:rsid w:val="00BB64B1"/>
    <w:rsid w:val="00BB761F"/>
    <w:rsid w:val="00BC19C0"/>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6E32"/>
    <w:rsid w:val="00C40398"/>
    <w:rsid w:val="00C42379"/>
    <w:rsid w:val="00C44328"/>
    <w:rsid w:val="00C4642B"/>
    <w:rsid w:val="00C47BEF"/>
    <w:rsid w:val="00C509C5"/>
    <w:rsid w:val="00C525F7"/>
    <w:rsid w:val="00C55533"/>
    <w:rsid w:val="00C617B3"/>
    <w:rsid w:val="00C61B54"/>
    <w:rsid w:val="00C66A4A"/>
    <w:rsid w:val="00C70DE0"/>
    <w:rsid w:val="00C77BE6"/>
    <w:rsid w:val="00C83BF6"/>
    <w:rsid w:val="00C84FE2"/>
    <w:rsid w:val="00C86492"/>
    <w:rsid w:val="00C90C2B"/>
    <w:rsid w:val="00CA26DE"/>
    <w:rsid w:val="00CB3368"/>
    <w:rsid w:val="00CB6EA4"/>
    <w:rsid w:val="00CD12E3"/>
    <w:rsid w:val="00CD3E0B"/>
    <w:rsid w:val="00CD4E05"/>
    <w:rsid w:val="00CD6CA6"/>
    <w:rsid w:val="00CD755A"/>
    <w:rsid w:val="00CE1472"/>
    <w:rsid w:val="00CE6DE0"/>
    <w:rsid w:val="00CF1011"/>
    <w:rsid w:val="00CF5021"/>
    <w:rsid w:val="00CF65E4"/>
    <w:rsid w:val="00D026FC"/>
    <w:rsid w:val="00D05B3C"/>
    <w:rsid w:val="00D114EF"/>
    <w:rsid w:val="00D14B77"/>
    <w:rsid w:val="00D17B0A"/>
    <w:rsid w:val="00D224DF"/>
    <w:rsid w:val="00D263F1"/>
    <w:rsid w:val="00D313A3"/>
    <w:rsid w:val="00D371A7"/>
    <w:rsid w:val="00D37AD5"/>
    <w:rsid w:val="00D452D5"/>
    <w:rsid w:val="00D52BD4"/>
    <w:rsid w:val="00D531E0"/>
    <w:rsid w:val="00D623A6"/>
    <w:rsid w:val="00D66952"/>
    <w:rsid w:val="00D774D0"/>
    <w:rsid w:val="00D81AF6"/>
    <w:rsid w:val="00D934BA"/>
    <w:rsid w:val="00D94316"/>
    <w:rsid w:val="00D97A9D"/>
    <w:rsid w:val="00DA158D"/>
    <w:rsid w:val="00DA5F28"/>
    <w:rsid w:val="00DB0CF0"/>
    <w:rsid w:val="00DC24CB"/>
    <w:rsid w:val="00DC3467"/>
    <w:rsid w:val="00DD7737"/>
    <w:rsid w:val="00DE3E8D"/>
    <w:rsid w:val="00DE54C5"/>
    <w:rsid w:val="00DE72C7"/>
    <w:rsid w:val="00DF1C31"/>
    <w:rsid w:val="00DF26C5"/>
    <w:rsid w:val="00E106B9"/>
    <w:rsid w:val="00E11B95"/>
    <w:rsid w:val="00E24D94"/>
    <w:rsid w:val="00E2616D"/>
    <w:rsid w:val="00E47701"/>
    <w:rsid w:val="00E5019D"/>
    <w:rsid w:val="00E54932"/>
    <w:rsid w:val="00E55EB5"/>
    <w:rsid w:val="00E56299"/>
    <w:rsid w:val="00E56A0E"/>
    <w:rsid w:val="00E604F4"/>
    <w:rsid w:val="00E60D90"/>
    <w:rsid w:val="00E62B46"/>
    <w:rsid w:val="00E630C8"/>
    <w:rsid w:val="00E63417"/>
    <w:rsid w:val="00E6655C"/>
    <w:rsid w:val="00E73617"/>
    <w:rsid w:val="00E76928"/>
    <w:rsid w:val="00E819FF"/>
    <w:rsid w:val="00E847D0"/>
    <w:rsid w:val="00E9359E"/>
    <w:rsid w:val="00EA04A3"/>
    <w:rsid w:val="00EA68E6"/>
    <w:rsid w:val="00EA69BA"/>
    <w:rsid w:val="00EA73C1"/>
    <w:rsid w:val="00EB0962"/>
    <w:rsid w:val="00EB0A11"/>
    <w:rsid w:val="00EB54F6"/>
    <w:rsid w:val="00EB5BA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6B9A"/>
    <w:rsid w:val="00F352A5"/>
    <w:rsid w:val="00F36D7D"/>
    <w:rsid w:val="00F37734"/>
    <w:rsid w:val="00F41641"/>
    <w:rsid w:val="00F43CD1"/>
    <w:rsid w:val="00F50376"/>
    <w:rsid w:val="00F52A5A"/>
    <w:rsid w:val="00F56079"/>
    <w:rsid w:val="00F62C49"/>
    <w:rsid w:val="00F66603"/>
    <w:rsid w:val="00F70809"/>
    <w:rsid w:val="00F763E7"/>
    <w:rsid w:val="00F82590"/>
    <w:rsid w:val="00F841D7"/>
    <w:rsid w:val="00F84A8B"/>
    <w:rsid w:val="00F87CB0"/>
    <w:rsid w:val="00F925FA"/>
    <w:rsid w:val="00F96177"/>
    <w:rsid w:val="00FA36DE"/>
    <w:rsid w:val="00FA48C3"/>
    <w:rsid w:val="00FA7626"/>
    <w:rsid w:val="00FB0923"/>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5F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1946</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2021-01-17T03:07:00Z</dcterms:created>
  <dcterms:modified xsi:type="dcterms:W3CDTF">2021-01-17T20:55:00Z</dcterms:modified>
  <cp:category/>
</cp:coreProperties>
</file>